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tabs>
          <w:tab w:val="right" w:pos="9639"/>
        </w:tabs>
        <w:spacing w:after="0"/>
        <w:outlineLvl w:val="0"/>
        <w:rPr>
          <w:rFonts w:hint="default" w:eastAsia="宋体"/>
          <w:b/>
          <w:sz w:val="24"/>
          <w:lang w:val="en-US" w:eastAsia="zh-CN"/>
        </w:rPr>
      </w:pPr>
      <w:bookmarkStart w:id="0" w:name="_Hlt450051172"/>
      <w:bookmarkEnd w:id="0"/>
      <w:bookmarkStart w:id="1" w:name="_Hlt450066085"/>
      <w:bookmarkEnd w:id="1"/>
      <w:bookmarkStart w:id="2" w:name="_Hlt450066087"/>
      <w:bookmarkEnd w:id="2"/>
      <w:bookmarkStart w:id="3" w:name="_Hlt449016246"/>
      <w:bookmarkEnd w:id="3"/>
      <w:bookmarkStart w:id="4" w:name="_Hlt448930105"/>
      <w:bookmarkEnd w:id="4"/>
      <w:bookmarkStart w:id="5" w:name="_Hlt450039480"/>
      <w:bookmarkEnd w:id="5"/>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1</w:t>
      </w:r>
      <w:r>
        <w:rPr>
          <w:b/>
          <w:i/>
          <w:sz w:val="28"/>
        </w:rPr>
        <w:tab/>
      </w:r>
      <w:r>
        <w:rPr>
          <w:rFonts w:hint="eastAsia"/>
          <w:b/>
          <w:sz w:val="24"/>
        </w:rPr>
        <w:t>R4-2</w:t>
      </w:r>
      <w:r>
        <w:rPr>
          <w:rFonts w:hint="eastAsia" w:eastAsia="宋体"/>
          <w:b/>
          <w:sz w:val="24"/>
          <w:lang w:val="en-US" w:eastAsia="zh-CN"/>
        </w:rPr>
        <w:t>408794</w:t>
      </w:r>
    </w:p>
    <w:p>
      <w:pPr>
        <w:pStyle w:val="73"/>
        <w:outlineLvl w:val="0"/>
        <w:rPr>
          <w:b/>
          <w:sz w:val="24"/>
        </w:rPr>
      </w:pPr>
      <w:r>
        <w:rPr>
          <w:rFonts w:hint="eastAsia" w:eastAsia="宋体" w:cs="Arial"/>
          <w:b/>
          <w:sz w:val="24"/>
          <w:szCs w:val="24"/>
          <w:lang w:val="en-US" w:eastAsia="zh-CN"/>
        </w:rPr>
        <w:t>Fukuoka,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Japan</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20</w:t>
      </w:r>
      <w:r>
        <w:rPr>
          <w:rFonts w:hint="eastAsia" w:ascii="Arial" w:hAnsi="Arial" w:eastAsia="宋体" w:cs="Arial"/>
          <w:b/>
          <w:sz w:val="24"/>
          <w:szCs w:val="24"/>
          <w:lang w:eastAsia="zh-CN"/>
        </w:rPr>
        <w:t>th–</w:t>
      </w:r>
      <w:r>
        <w:rPr>
          <w:rFonts w:hint="eastAsia" w:eastAsia="宋体" w:cs="Arial"/>
          <w:b/>
          <w:sz w:val="24"/>
          <w:szCs w:val="24"/>
          <w:lang w:val="en-US" w:eastAsia="zh-CN"/>
        </w:rPr>
        <w:t>24</w:t>
      </w:r>
      <w:r>
        <w:rPr>
          <w:rFonts w:hint="eastAsia" w:cs="Arial"/>
          <w:b/>
          <w:sz w:val="24"/>
          <w:szCs w:val="24"/>
          <w:lang w:val="en-US" w:eastAsia="zh-CN"/>
        </w:rPr>
        <w:t>th</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May</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bookmarkStart w:id="11" w:name="_GoBack"/>
      <w:bookmarkEnd w:id="11"/>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6" w:name="OLE_LINK14"/>
      <w:bookmarkStart w:id="7" w:name="OLE_LINK8"/>
      <w:r>
        <w:rPr>
          <w:rFonts w:hint="eastAsia" w:ascii="Arial" w:hAnsi="Arial"/>
          <w:b/>
          <w:sz w:val="24"/>
          <w:highlight w:val="none"/>
          <w:lang w:val="en-US" w:eastAsia="zh-CN"/>
        </w:rPr>
        <w:t>D</w:t>
      </w:r>
      <w:r>
        <w:rPr>
          <w:rStyle w:val="60"/>
          <w:rFonts w:hint="eastAsia"/>
          <w:b/>
          <w:highlight w:val="none"/>
          <w:lang w:val="pt-BR" w:eastAsia="zh-CN"/>
        </w:rPr>
        <w:t xml:space="preserve">iscussion on </w:t>
      </w:r>
      <w:bookmarkEnd w:id="6"/>
      <w:bookmarkEnd w:id="7"/>
      <w:r>
        <w:rPr>
          <w:rStyle w:val="60"/>
          <w:rFonts w:hint="eastAsia"/>
          <w:b/>
          <w:highlight w:val="none"/>
          <w:lang w:val="en-US" w:eastAsia="zh-CN"/>
        </w:rPr>
        <w:t>power domain enhancements for single carrier</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10.1.1.3.1</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102</w:t>
      </w:r>
      <w:r>
        <w:rPr>
          <w:rFonts w:hint="default"/>
          <w:i w:val="0"/>
          <w:iCs w:val="0"/>
          <w:sz w:val="20"/>
          <w:szCs w:val="20"/>
          <w:lang w:val="en-US" w:eastAsia="zh-CN"/>
        </w:rPr>
        <w:t xml:space="preserve"> meeting, a</w:t>
      </w:r>
      <w:r>
        <w:rPr>
          <w:rFonts w:hint="eastAsia"/>
          <w:i w:val="0"/>
          <w:iCs w:val="0"/>
          <w:sz w:val="20"/>
          <w:szCs w:val="20"/>
          <w:lang w:val="en-US" w:eastAsia="zh-CN"/>
        </w:rPr>
        <w:t xml:space="preserve"> new</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 on </w:t>
      </w:r>
      <w:r>
        <w:rPr>
          <w:rFonts w:hint="eastAsia"/>
          <w:i w:val="0"/>
          <w:iCs w:val="0"/>
          <w:sz w:val="20"/>
          <w:szCs w:val="20"/>
          <w:lang w:val="en-US" w:eastAsia="zh-CN"/>
        </w:rPr>
        <w:t>UE RF enhancements for NR FR1/FR2 and EN-DC, Phase 4, one of the objectives is about power boosting and/or MPR reduction as follows</w:t>
      </w:r>
      <w:r>
        <w:rPr>
          <w:rFonts w:hint="default"/>
          <w:i w:val="0"/>
          <w:iCs w:val="0"/>
          <w:sz w:val="20"/>
          <w:szCs w:val="20"/>
          <w:lang w:val="en-US" w:eastAsia="zh-CN"/>
        </w:rPr>
        <w:t xml:space="preserve">. In this contribution, we want to share some </w:t>
      </w:r>
      <w:r>
        <w:rPr>
          <w:rFonts w:hint="eastAsia"/>
          <w:i w:val="0"/>
          <w:iCs w:val="0"/>
          <w:sz w:val="20"/>
          <w:szCs w:val="20"/>
          <w:lang w:val="en-US" w:eastAsia="zh-CN"/>
        </w:rPr>
        <w:t>further</w:t>
      </w:r>
      <w:r>
        <w:rPr>
          <w:rFonts w:hint="default"/>
          <w:i w:val="0"/>
          <w:iCs w:val="0"/>
          <w:sz w:val="20"/>
          <w:szCs w:val="20"/>
          <w:lang w:val="en-US" w:eastAsia="zh-CN"/>
        </w:rPr>
        <w:t xml:space="preserve"> views</w:t>
      </w:r>
      <w:r>
        <w:rPr>
          <w:rFonts w:hint="eastAsia"/>
          <w:i w:val="0"/>
          <w:iCs w:val="0"/>
          <w:sz w:val="20"/>
          <w:szCs w:val="20"/>
          <w:lang w:val="en-US" w:eastAsia="zh-CN"/>
        </w:rPr>
        <w:t xml:space="preserve"> </w:t>
      </w:r>
      <w:r>
        <w:rPr>
          <w:rFonts w:hint="default"/>
          <w:i w:val="0"/>
          <w:iCs w:val="0"/>
          <w:sz w:val="20"/>
          <w:szCs w:val="20"/>
          <w:lang w:val="en-US" w:eastAsia="zh-CN"/>
        </w:rPr>
        <w:t>on power domain enhancements</w:t>
      </w:r>
      <w:r>
        <w:rPr>
          <w:rFonts w:hint="eastAsia"/>
          <w:i w:val="0"/>
          <w:iCs w:val="0"/>
          <w:sz w:val="20"/>
          <w:szCs w:val="20"/>
          <w:lang w:val="en-US" w:eastAsia="zh-CN"/>
        </w:rPr>
        <w:t xml:space="preserve"> for single carrier</w:t>
      </w:r>
      <w:r>
        <w:rPr>
          <w:rFonts w:hint="default"/>
          <w:i w:val="0"/>
          <w:iCs w:val="0"/>
          <w:sz w:val="20"/>
          <w:szCs w:val="20"/>
          <w:lang w:val="en-US" w:eastAsia="zh-CN"/>
        </w:rPr>
        <w:t>.</w:t>
      </w:r>
    </w:p>
    <w:tbl>
      <w:tblPr>
        <w:tblStyle w:val="24"/>
        <w:tblW w:w="0" w:type="auto"/>
        <w:tblInd w:w="2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4" w:type="dxa"/>
          </w:tcPr>
          <w:p>
            <w:pPr>
              <w:pStyle w:val="34"/>
              <w:numPr>
                <w:ilvl w:val="0"/>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Specify</w:t>
            </w:r>
            <w:r>
              <w:rPr>
                <w:rFonts w:ascii="Times New Roman" w:hAnsi="Times New Roman" w:cs="Times New Roman"/>
                <w:sz w:val="20"/>
                <w:szCs w:val="20"/>
              </w:rPr>
              <w:t xml:space="preserve"> power domain enhancement, e.g., MPR reduction for NR single carrier and NR intra-band UL CA</w:t>
            </w:r>
          </w:p>
          <w:p>
            <w:pPr>
              <w:pStyle w:val="34"/>
              <w:numPr>
                <w:ilvl w:val="1"/>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 xml:space="preserve">Study </w:t>
            </w:r>
            <w:r>
              <w:rPr>
                <w:rFonts w:ascii="Times New Roman" w:hAnsi="Times New Roman" w:cs="Times New Roman"/>
                <w:sz w:val="20"/>
                <w:szCs w:val="20"/>
              </w:rPr>
              <w:t xml:space="preserve">the scenarios, </w:t>
            </w:r>
            <w:r>
              <w:rPr>
                <w:rFonts w:hint="eastAsia" w:ascii="Times New Roman" w:hAnsi="Times New Roman" w:cs="Times New Roman"/>
                <w:sz w:val="20"/>
                <w:szCs w:val="20"/>
              </w:rPr>
              <w:t>and</w:t>
            </w:r>
            <w:r>
              <w:rPr>
                <w:rFonts w:ascii="Times New Roman" w:hAnsi="Times New Roman" w:cs="Times New Roman"/>
                <w:sz w:val="20"/>
                <w:szCs w:val="20"/>
              </w:rPr>
              <w:t xml:space="preserve"> if feasible,</w:t>
            </w:r>
            <w:r>
              <w:rPr>
                <w:rFonts w:hint="eastAsia" w:ascii="Times New Roman" w:hAnsi="Times New Roman" w:cs="Times New Roman"/>
                <w:sz w:val="20"/>
                <w:szCs w:val="20"/>
              </w:rPr>
              <w:t xml:space="preserve"> sp</w:t>
            </w:r>
            <w:r>
              <w:rPr>
                <w:rFonts w:ascii="Times New Roman" w:hAnsi="Times New Roman" w:cs="Times New Roman"/>
                <w:sz w:val="20"/>
                <w:szCs w:val="20"/>
              </w:rPr>
              <w:t>ecify the power domain enhancement, e.g., MPR reduction, for PC2 and PC3 with applicable ACLR/SEM/spurious emission modification with BS indication for NR FR1 on a single UL carrier</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Include t</w:t>
            </w:r>
            <w:r>
              <w:rPr>
                <w:rFonts w:hint="eastAsia" w:ascii="Times New Roman" w:hAnsi="Times New Roman" w:cs="Times New Roman"/>
                <w:sz w:val="20"/>
                <w:szCs w:val="20"/>
              </w:rPr>
              <w:t xml:space="preserve">he </w:t>
            </w:r>
            <w:bookmarkStart w:id="8" w:name="OLE_LINK6"/>
            <w:r>
              <w:rPr>
                <w:rFonts w:hint="eastAsia" w:ascii="Times New Roman" w:hAnsi="Times New Roman" w:cs="Times New Roman"/>
                <w:sz w:val="20"/>
                <w:szCs w:val="20"/>
              </w:rPr>
              <w:t>following scenarios</w:t>
            </w:r>
            <w:r>
              <w:rPr>
                <w:rFonts w:ascii="Times New Roman" w:hAnsi="Times New Roman" w:cs="Times New Roman"/>
                <w:sz w:val="20"/>
                <w:szCs w:val="20"/>
              </w:rPr>
              <w:t>:</w:t>
            </w:r>
          </w:p>
          <w:p>
            <w:pPr>
              <w:pStyle w:val="34"/>
              <w:numPr>
                <w:ilvl w:val="3"/>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when there is no</w:t>
            </w:r>
            <w:r>
              <w:rPr>
                <w:rFonts w:ascii="Times New Roman" w:hAnsi="Times New Roman" w:cs="Times New Roman"/>
                <w:sz w:val="20"/>
                <w:szCs w:val="20"/>
              </w:rPr>
              <w:t xml:space="preserve"> adjacent</w:t>
            </w:r>
            <w:r>
              <w:rPr>
                <w:rFonts w:hint="eastAsia" w:ascii="Times New Roman" w:hAnsi="Times New Roman" w:cs="Times New Roman"/>
                <w:sz w:val="20"/>
                <w:szCs w:val="20"/>
              </w:rPr>
              <w:t xml:space="preserve"> </w:t>
            </w:r>
            <w:r>
              <w:rPr>
                <w:rFonts w:ascii="Times New Roman" w:hAnsi="Times New Roman" w:cs="Times New Roman"/>
                <w:sz w:val="20"/>
                <w:szCs w:val="20"/>
              </w:rPr>
              <w:t>in-band/out-of-band co-existence issue</w:t>
            </w:r>
          </w:p>
          <w:p>
            <w:pPr>
              <w:pStyle w:val="34"/>
              <w:numPr>
                <w:ilvl w:val="3"/>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when a UE uses a narrower channel bandwidth within a wider BS bandwidth</w:t>
            </w:r>
          </w:p>
          <w:bookmarkEnd w:id="8"/>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Include</w:t>
            </w:r>
            <w:r>
              <w:rPr>
                <w:rFonts w:hint="eastAsia" w:ascii="Times New Roman" w:hAnsi="Times New Roman" w:cs="Times New Roman"/>
                <w:sz w:val="20"/>
                <w:szCs w:val="20"/>
              </w:rPr>
              <w:t xml:space="preserve"> </w:t>
            </w:r>
            <w:r>
              <w:rPr>
                <w:rFonts w:ascii="Times New Roman" w:hAnsi="Times New Roman" w:cs="Times New Roman"/>
                <w:sz w:val="20"/>
                <w:szCs w:val="20"/>
              </w:rPr>
              <w:t>b</w:t>
            </w:r>
            <w:r>
              <w:rPr>
                <w:rFonts w:hint="eastAsia" w:ascii="Times New Roman" w:hAnsi="Times New Roman" w:cs="Times New Roman"/>
                <w:sz w:val="20"/>
                <w:szCs w:val="20"/>
              </w:rPr>
              <w:t xml:space="preserve">oth </w:t>
            </w:r>
            <w:r>
              <w:rPr>
                <w:rFonts w:ascii="Times New Roman" w:hAnsi="Times New Roman" w:cs="Times New Roman"/>
                <w:sz w:val="20"/>
                <w:szCs w:val="20"/>
              </w:rPr>
              <w:t>(e)</w:t>
            </w:r>
            <w:r>
              <w:rPr>
                <w:rFonts w:hint="eastAsia" w:ascii="Times New Roman" w:hAnsi="Times New Roman" w:cs="Times New Roman"/>
                <w:sz w:val="20"/>
                <w:szCs w:val="20"/>
              </w:rPr>
              <w:t>RedCap UE</w:t>
            </w:r>
            <w:r>
              <w:rPr>
                <w:rFonts w:ascii="Times New Roman" w:hAnsi="Times New Roman" w:cs="Times New Roman"/>
                <w:sz w:val="20"/>
                <w:szCs w:val="20"/>
              </w:rPr>
              <w:t xml:space="preserve"> (only PC3)</w:t>
            </w:r>
            <w:r>
              <w:rPr>
                <w:rFonts w:hint="eastAsia" w:ascii="Times New Roman" w:hAnsi="Times New Roman" w:cs="Times New Roman"/>
                <w:sz w:val="20"/>
                <w:szCs w:val="20"/>
              </w:rPr>
              <w:t xml:space="preserve"> and non-RedCap UE</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Limited to QSPK and 16QAM</w:t>
            </w:r>
          </w:p>
          <w:p>
            <w:pPr>
              <w:pStyle w:val="34"/>
              <w:numPr>
                <w:ilvl w:val="1"/>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 xml:space="preserve">Specify </w:t>
            </w:r>
            <w:bookmarkStart w:id="9" w:name="OLE_LINK11"/>
            <w:r>
              <w:rPr>
                <w:rFonts w:ascii="Times New Roman" w:hAnsi="Times New Roman" w:cs="Times New Roman"/>
                <w:sz w:val="20"/>
                <w:szCs w:val="20"/>
              </w:rPr>
              <w:t xml:space="preserve">MPR applicability based on the UL CCs with activated cells </w:t>
            </w:r>
            <w:bookmarkEnd w:id="9"/>
            <w:r>
              <w:rPr>
                <w:rFonts w:ascii="Times New Roman" w:hAnsi="Times New Roman" w:cs="Times New Roman"/>
                <w:sz w:val="20"/>
                <w:szCs w:val="20"/>
              </w:rPr>
              <w:t>for NR intra-band UL CA configuration</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 xml:space="preserve">Include both intra-band UL </w:t>
            </w:r>
            <w:r>
              <w:rPr>
                <w:rFonts w:ascii="Times New Roman" w:hAnsi="Times New Roman" w:cs="Times New Roman"/>
                <w:sz w:val="20"/>
                <w:szCs w:val="20"/>
              </w:rPr>
              <w:t>contiguous</w:t>
            </w:r>
            <w:r>
              <w:rPr>
                <w:rFonts w:hint="eastAsia" w:ascii="Times New Roman" w:hAnsi="Times New Roman" w:cs="Times New Roman"/>
                <w:sz w:val="20"/>
                <w:szCs w:val="20"/>
              </w:rPr>
              <w:t xml:space="preserve"> </w:t>
            </w:r>
            <w:r>
              <w:rPr>
                <w:rFonts w:ascii="Times New Roman" w:hAnsi="Times New Roman" w:cs="Times New Roman"/>
                <w:sz w:val="20"/>
                <w:szCs w:val="20"/>
              </w:rPr>
              <w:t>CA and intra-band non-contiguous UL CA for FR1</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Include intra-band UL contiguous CA and intra-band DL contiguous CA with single UL for FR2</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 xml:space="preserve">MPR requirement is not applicable until the </w:t>
            </w:r>
            <w:bookmarkStart w:id="10" w:name="OLE_LINK13"/>
            <w:r>
              <w:rPr>
                <w:rFonts w:ascii="Times New Roman" w:hAnsi="Times New Roman" w:cs="Times New Roman"/>
                <w:sz w:val="20"/>
                <w:szCs w:val="20"/>
              </w:rPr>
              <w:t>SCell is activated</w:t>
            </w:r>
            <w:bookmarkEnd w:id="10"/>
          </w:p>
          <w:p>
            <w:pPr>
              <w:pStyle w:val="34"/>
              <w:numPr>
                <w:ilvl w:val="1"/>
                <w:numId w:val="8"/>
              </w:numPr>
              <w:overflowPunct w:val="0"/>
              <w:autoSpaceDE w:val="0"/>
              <w:autoSpaceDN w:val="0"/>
              <w:adjustRightInd w:val="0"/>
              <w:spacing w:after="180"/>
              <w:ind w:firstLineChars="0"/>
              <w:jc w:val="left"/>
              <w:textAlignment w:val="baseline"/>
              <w:rPr>
                <w:rFonts w:hint="default" w:eastAsia="宋体"/>
                <w:i w:val="0"/>
                <w:iCs w:val="0"/>
                <w:sz w:val="20"/>
                <w:szCs w:val="20"/>
                <w:vertAlign w:val="baseline"/>
                <w:lang w:val="en-US" w:eastAsia="zh-CN"/>
              </w:rPr>
            </w:pPr>
            <w:r>
              <w:rPr>
                <w:rFonts w:ascii="Times New Roman" w:hAnsi="Times New Roman" w:cs="Times New Roman"/>
                <w:sz w:val="20"/>
                <w:szCs w:val="20"/>
              </w:rPr>
              <w:t>Necessary signaling to support the above objectives</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rFonts w:hint="eastAsia" w:eastAsia="宋体"/>
          <w:lang w:eastAsia="zh-CN"/>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eastAsia"/>
          <w:b/>
          <w:bCs/>
          <w:i/>
          <w:iCs/>
          <w:sz w:val="20"/>
          <w:szCs w:val="20"/>
          <w:lang w:val="en-US" w:eastAsia="zh-CN"/>
        </w:rPr>
      </w:pPr>
      <w:r>
        <w:rPr>
          <w:rFonts w:hint="eastAsia"/>
          <w:lang w:val="en-US" w:eastAsia="zh-CN"/>
        </w:rPr>
        <w:t>2.1 Relaxed requirements from co-existence/regulation perspective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
              <w:numPr>
                <w:ilvl w:val="1"/>
                <w:numId w:val="0"/>
              </w:numPr>
              <w:overflowPunct w:val="0"/>
              <w:autoSpaceDE w:val="0"/>
              <w:autoSpaceDN w:val="0"/>
              <w:adjustRightInd w:val="0"/>
              <w:ind w:leftChars="0" w:right="0" w:rightChars="0"/>
              <w:textAlignment w:val="baseline"/>
              <w:rPr>
                <w:sz w:val="24"/>
              </w:rPr>
            </w:pPr>
            <w:r>
              <w:rPr>
                <w:sz w:val="24"/>
              </w:rPr>
              <w:t>1.2. relaxed requirements from co-existence/regulation perspective</w:t>
            </w:r>
          </w:p>
          <w:p>
            <w:pPr>
              <w:overflowPunct/>
              <w:autoSpaceDE/>
              <w:autoSpaceDN/>
              <w:adjustRightInd/>
              <w:spacing w:after="120"/>
              <w:textAlignment w:val="auto"/>
              <w:rPr>
                <w:rFonts w:eastAsia="宋体"/>
                <w:color w:val="0070C0"/>
                <w:szCs w:val="24"/>
                <w:lang w:eastAsia="zh-CN"/>
              </w:rPr>
            </w:pPr>
            <w:r>
              <w:rPr>
                <w:b/>
                <w:lang w:eastAsia="zh-CN"/>
              </w:rPr>
              <w:t>Way forward:</w:t>
            </w:r>
            <w:r>
              <w:rPr>
                <w:rFonts w:eastAsia="宋体"/>
                <w:color w:val="0070C0"/>
                <w:szCs w:val="24"/>
                <w:lang w:eastAsia="zh-CN"/>
              </w:rPr>
              <w:t xml:space="preserve"> </w:t>
            </w:r>
          </w:p>
          <w:p>
            <w:pPr>
              <w:pStyle w:val="34"/>
              <w:numPr>
                <w:ilvl w:val="0"/>
                <w:numId w:val="9"/>
              </w:numPr>
              <w:overflowPunct w:val="0"/>
              <w:autoSpaceDE w:val="0"/>
              <w:autoSpaceDN w:val="0"/>
              <w:adjustRightInd w:val="0"/>
              <w:spacing w:after="180"/>
              <w:ind w:firstLineChars="0"/>
              <w:textAlignment w:val="baseline"/>
              <w:rPr>
                <w:rFonts w:hint="default"/>
                <w:b/>
                <w:bCs/>
                <w:i/>
                <w:iCs/>
                <w:sz w:val="20"/>
                <w:szCs w:val="20"/>
                <w:vertAlign w:val="baseline"/>
                <w:lang w:val="en-US" w:eastAsia="zh-CN"/>
              </w:rPr>
            </w:pPr>
            <w:r>
              <w:rPr>
                <w:rFonts w:eastAsiaTheme="minorEastAsia"/>
                <w:sz w:val="21"/>
                <w:szCs w:val="21"/>
                <w:lang w:eastAsia="zh-CN"/>
              </w:rPr>
              <w:t>For regions where a</w:t>
            </w:r>
            <w:r>
              <w:rPr>
                <w:rFonts w:hint="eastAsia" w:eastAsiaTheme="minorEastAsia"/>
                <w:sz w:val="21"/>
                <w:szCs w:val="21"/>
                <w:lang w:eastAsia="zh-CN"/>
              </w:rPr>
              <w:t>t</w:t>
            </w:r>
            <w:r>
              <w:rPr>
                <w:rFonts w:eastAsiaTheme="minorEastAsia"/>
                <w:sz w:val="21"/>
                <w:szCs w:val="21"/>
                <w:lang w:eastAsia="zh-CN"/>
              </w:rPr>
              <w:t xml:space="preserve"> least ACLR and SEM can be relaxed for the identified scenarios, FFS whether SE could be relaxed, or under which conditions can be relaxed. </w:t>
            </w:r>
          </w:p>
        </w:tc>
      </w:tr>
    </w:tbl>
    <w:p>
      <w:pPr>
        <w:rPr>
          <w:rFonts w:hint="eastAsia" w:cs="Times New Roman"/>
          <w:sz w:val="20"/>
          <w:szCs w:val="20"/>
          <w:lang w:val="en-US" w:eastAsia="zh-CN"/>
        </w:rPr>
      </w:pPr>
      <w:r>
        <w:rPr>
          <w:rFonts w:hint="eastAsia" w:cs="Times New Roman"/>
          <w:sz w:val="20"/>
          <w:szCs w:val="20"/>
          <w:lang w:val="en-US" w:eastAsia="zh-CN"/>
        </w:rPr>
        <w:t>Spurious emission requirements typically originate from regulatory body such as ITU-R recommendation SM.329. According to TS 36.803, the general spurious emission requirements and the corresponding reference bandwidths are taken from ITU-SM.329 for both the UE and the BS. The stricter Category B requirements were selected for the UE, to allow for global circulation of terminals. Regarding OOB boundary, it is defined as BW</w:t>
      </w:r>
      <w:r>
        <w:rPr>
          <w:rFonts w:hint="eastAsia" w:cs="Times New Roman"/>
          <w:sz w:val="20"/>
          <w:szCs w:val="20"/>
          <w:vertAlign w:val="subscript"/>
          <w:lang w:val="en-US" w:eastAsia="zh-CN"/>
        </w:rPr>
        <w:t>channel</w:t>
      </w:r>
      <w:r>
        <w:rPr>
          <w:rFonts w:hint="eastAsia" w:cs="Times New Roman"/>
          <w:sz w:val="20"/>
          <w:szCs w:val="20"/>
          <w:lang w:val="en-US" w:eastAsia="zh-CN"/>
        </w:rPr>
        <w:t xml:space="preserve"> +5 between NR out of band and general spurious emission domain in TS 38.101-1, while ITU-SM.1541 specifies the frequency separation between the centre frequency of UE CBW and the spurious boundary as 1.5*BW</w:t>
      </w:r>
      <w:r>
        <w:rPr>
          <w:rFonts w:hint="eastAsia" w:cs="Times New Roman"/>
          <w:sz w:val="20"/>
          <w:szCs w:val="20"/>
          <w:vertAlign w:val="subscript"/>
          <w:lang w:val="en-US" w:eastAsia="zh-CN"/>
        </w:rPr>
        <w:t>channel</w:t>
      </w:r>
      <w:r>
        <w:rPr>
          <w:rFonts w:hint="eastAsia" w:cs="Times New Roman"/>
          <w:sz w:val="20"/>
          <w:szCs w:val="20"/>
          <w:lang w:val="en-US" w:eastAsia="zh-CN"/>
        </w:rPr>
        <w:t xml:space="preserve"> + 5. 3GPP and ITU-R share the same applying range of spurious emission requirements. Hence, we can conclude that spurious emission requirements in 3GPP is the same as ITU-R.</w:t>
      </w:r>
    </w:p>
    <w:p>
      <w:pPr>
        <w:rPr>
          <w:rFonts w:hint="default" w:cs="Times New Roman"/>
          <w:sz w:val="20"/>
          <w:szCs w:val="20"/>
          <w:lang w:val="en-US" w:eastAsia="zh-CN"/>
        </w:rPr>
      </w:pPr>
      <w:r>
        <w:rPr>
          <w:rFonts w:hint="eastAsia"/>
          <w:b/>
          <w:bCs/>
          <w:i/>
          <w:iCs/>
          <w:sz w:val="20"/>
          <w:szCs w:val="20"/>
          <w:lang w:val="en-US" w:eastAsia="zh-CN"/>
        </w:rPr>
        <w:t>Observation 1: The stricter Category B requirements in ITU-SM.329 were selected for the UE in 3GPP to allow for global circulation of terminals. 3GPP and ITU-R share the same applying range of spurious emission requirements.</w:t>
      </w:r>
    </w:p>
    <w:p>
      <w:pPr>
        <w:rPr>
          <w:rFonts w:hint="default" w:cs="Times New Roman"/>
          <w:sz w:val="20"/>
          <w:szCs w:val="20"/>
          <w:lang w:val="en-US" w:eastAsia="zh-CN"/>
        </w:rPr>
      </w:pPr>
      <w:r>
        <w:rPr>
          <w:rFonts w:hint="eastAsia" w:cs="Times New Roman"/>
          <w:sz w:val="20"/>
          <w:szCs w:val="20"/>
          <w:lang w:val="en-US" w:eastAsia="zh-CN"/>
        </w:rPr>
        <w:t>Regarding MPR limitations, simulation results indicate SEM is the main limiting factor of MPR for outer and edge RB allocations with limited RBs, while ACLR is the major limiting factor for other cases of outer RB allocations. For inner RB allocation, SEM or IBE serves as the limiting factor, while SEM dominates for edge RB allocation. Notably, these limitations ensure compliance with spurious emission requirements. Therefore, spurious emissions are not the primary limiting factor for MPR. If relaxing ACLR can sufficiently reduce MPR, there may be no need to relax SE.</w:t>
      </w:r>
    </w:p>
    <w:p>
      <w:pPr>
        <w:rPr>
          <w:rFonts w:hint="default" w:eastAsia="宋体" w:cs="v5.0.0"/>
          <w:sz w:val="20"/>
          <w:szCs w:val="20"/>
          <w:lang w:val="en-US" w:eastAsia="zh-CN"/>
        </w:rPr>
      </w:pPr>
      <w:r>
        <w:rPr>
          <w:rFonts w:hint="eastAsia" w:cs="Times New Roman"/>
          <w:sz w:val="20"/>
          <w:szCs w:val="20"/>
          <w:lang w:val="en-US" w:eastAsia="zh-CN"/>
        </w:rPr>
        <w:t>From the BS test perspective, TT (test tolerance) values are considered for SEM and ACLR, respectively. TT (test tolerance) means a small relaxation is allowed considering the test uncertainty. However, no TT is allowed for spurious emission test requirements, which means it shall be mandatory to meet without any relaxation although there exists test uncertainty which is similar as SEM/ACLR. Therefore, for spurious emission requirements, we don</w:t>
      </w:r>
      <w:r>
        <w:rPr>
          <w:rFonts w:hint="default" w:cs="Times New Roman"/>
          <w:sz w:val="20"/>
          <w:szCs w:val="20"/>
          <w:lang w:val="en-US" w:eastAsia="zh-CN"/>
        </w:rPr>
        <w:t>’</w:t>
      </w:r>
      <w:r>
        <w:rPr>
          <w:rFonts w:hint="eastAsia" w:cs="Times New Roman"/>
          <w:sz w:val="20"/>
          <w:szCs w:val="20"/>
          <w:lang w:val="en-US" w:eastAsia="zh-CN"/>
        </w:rPr>
        <w:t xml:space="preserve">t think they can be relaxed.  </w:t>
      </w:r>
    </w:p>
    <w:p>
      <w:pPr>
        <w:rPr>
          <w:rFonts w:hint="eastAsia"/>
          <w:b/>
          <w:bCs/>
          <w:i/>
          <w:iCs/>
          <w:sz w:val="20"/>
          <w:szCs w:val="20"/>
          <w:lang w:val="en-US" w:eastAsia="zh-CN"/>
        </w:rPr>
      </w:pPr>
      <w:r>
        <w:rPr>
          <w:rFonts w:hint="eastAsia"/>
          <w:b/>
          <w:bCs/>
          <w:i/>
          <w:iCs/>
          <w:sz w:val="20"/>
          <w:szCs w:val="20"/>
          <w:lang w:val="en-US" w:eastAsia="zh-CN"/>
        </w:rPr>
        <w:t>Proposal 1: For spurious emission requirements, they can</w:t>
      </w:r>
      <w:r>
        <w:rPr>
          <w:rFonts w:hint="default"/>
          <w:b/>
          <w:bCs/>
          <w:i/>
          <w:iCs/>
          <w:sz w:val="20"/>
          <w:szCs w:val="20"/>
          <w:lang w:val="en-US" w:eastAsia="zh-CN"/>
        </w:rPr>
        <w:t>’</w:t>
      </w:r>
      <w:r>
        <w:rPr>
          <w:rFonts w:hint="eastAsia"/>
          <w:b/>
          <w:bCs/>
          <w:i/>
          <w:iCs/>
          <w:sz w:val="20"/>
          <w:szCs w:val="20"/>
          <w:lang w:val="en-US" w:eastAsia="zh-CN"/>
        </w:rPr>
        <w:t>t be relaxed.</w:t>
      </w: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eastAsia"/>
          <w:b/>
          <w:bCs/>
          <w:i/>
          <w:iCs/>
          <w:sz w:val="20"/>
          <w:szCs w:val="20"/>
          <w:lang w:val="en-US" w:eastAsia="zh-CN"/>
        </w:rPr>
      </w:pPr>
      <w:r>
        <w:rPr>
          <w:rFonts w:hint="eastAsia"/>
          <w:lang w:val="en-US" w:eastAsia="zh-CN"/>
        </w:rPr>
        <w:t>2.2 Evaluation of relaxed requirements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
              <w:numPr>
                <w:ilvl w:val="1"/>
                <w:numId w:val="0"/>
              </w:numPr>
              <w:overflowPunct w:val="0"/>
              <w:autoSpaceDE w:val="0"/>
              <w:autoSpaceDN w:val="0"/>
              <w:adjustRightInd w:val="0"/>
              <w:ind w:leftChars="0" w:right="0" w:rightChars="0"/>
              <w:textAlignment w:val="baseline"/>
              <w:rPr>
                <w:sz w:val="24"/>
                <w:lang w:eastAsia="zh-CN"/>
              </w:rPr>
            </w:pPr>
            <w:r>
              <w:rPr>
                <w:sz w:val="24"/>
              </w:rPr>
              <w:t>1.3 General considerations for power domain enhancements</w:t>
            </w:r>
          </w:p>
          <w:p>
            <w:pPr>
              <w:overflowPunct w:val="0"/>
              <w:autoSpaceDE w:val="0"/>
              <w:autoSpaceDN w:val="0"/>
              <w:adjustRightInd w:val="0"/>
              <w:spacing w:after="180"/>
              <w:textAlignment w:val="baseline"/>
              <w:rPr>
                <w:b/>
                <w:lang w:eastAsia="zh-CN"/>
              </w:rPr>
            </w:pPr>
            <w:r>
              <w:rPr>
                <w:b/>
                <w:lang w:eastAsia="zh-CN"/>
              </w:rPr>
              <w:t>Way forward:</w:t>
            </w:r>
          </w:p>
          <w:p>
            <w:pPr>
              <w:pStyle w:val="34"/>
              <w:numPr>
                <w:ilvl w:val="0"/>
                <w:numId w:val="9"/>
              </w:numPr>
              <w:overflowPunct w:val="0"/>
              <w:autoSpaceDE w:val="0"/>
              <w:autoSpaceDN w:val="0"/>
              <w:adjustRightInd w:val="0"/>
              <w:spacing w:after="180"/>
              <w:ind w:firstLineChars="0"/>
              <w:textAlignment w:val="baseline"/>
              <w:rPr>
                <w:sz w:val="21"/>
                <w:szCs w:val="21"/>
                <w:lang w:eastAsia="zh-CN"/>
              </w:rPr>
            </w:pPr>
            <w:r>
              <w:rPr>
                <w:rFonts w:hint="eastAsia" w:eastAsiaTheme="minorEastAsia"/>
                <w:sz w:val="21"/>
                <w:szCs w:val="21"/>
                <w:lang w:eastAsia="zh-CN"/>
              </w:rPr>
              <w:t>O</w:t>
            </w:r>
            <w:r>
              <w:rPr>
                <w:rFonts w:eastAsiaTheme="minorEastAsia"/>
                <w:sz w:val="21"/>
                <w:szCs w:val="21"/>
                <w:lang w:eastAsia="zh-CN"/>
              </w:rPr>
              <w:t>nly requirements relaxation should be considered for power domain enhancements in Rel-19</w:t>
            </w:r>
          </w:p>
          <w:p>
            <w:pPr>
              <w:pStyle w:val="34"/>
              <w:numPr>
                <w:ilvl w:val="1"/>
                <w:numId w:val="9"/>
              </w:numPr>
              <w:overflowPunct w:val="0"/>
              <w:autoSpaceDE w:val="0"/>
              <w:autoSpaceDN w:val="0"/>
              <w:adjustRightInd w:val="0"/>
              <w:spacing w:after="180"/>
              <w:ind w:firstLineChars="0"/>
              <w:textAlignment w:val="baseline"/>
              <w:rPr>
                <w:sz w:val="21"/>
                <w:szCs w:val="21"/>
                <w:lang w:eastAsia="zh-CN"/>
              </w:rPr>
            </w:pPr>
            <w:r>
              <w:rPr>
                <w:rFonts w:eastAsia="宋体"/>
                <w:sz w:val="21"/>
                <w:szCs w:val="21"/>
                <w:lang w:eastAsia="zh-CN"/>
              </w:rPr>
              <w:t>only consider general requirements for the further evaluation</w:t>
            </w:r>
          </w:p>
          <w:p>
            <w:pPr>
              <w:pStyle w:val="34"/>
              <w:numPr>
                <w:ilvl w:val="0"/>
                <w:numId w:val="9"/>
              </w:numPr>
              <w:overflowPunct w:val="0"/>
              <w:autoSpaceDE w:val="0"/>
              <w:autoSpaceDN w:val="0"/>
              <w:adjustRightInd w:val="0"/>
              <w:spacing w:after="180"/>
              <w:ind w:firstLineChars="0"/>
              <w:textAlignment w:val="baseline"/>
              <w:rPr>
                <w:rFonts w:eastAsiaTheme="minorEastAsia"/>
                <w:sz w:val="21"/>
                <w:szCs w:val="21"/>
                <w:lang w:eastAsia="zh-CN"/>
              </w:rPr>
            </w:pPr>
            <w:r>
              <w:rPr>
                <w:rFonts w:eastAsiaTheme="minorEastAsia"/>
                <w:sz w:val="21"/>
                <w:szCs w:val="21"/>
                <w:lang w:eastAsia="zh-CN"/>
              </w:rPr>
              <w:t>No power domain enhancements based on BWP is considered</w:t>
            </w:r>
          </w:p>
          <w:p>
            <w:pPr>
              <w:pStyle w:val="3"/>
              <w:numPr>
                <w:ilvl w:val="1"/>
                <w:numId w:val="0"/>
              </w:numPr>
              <w:overflowPunct w:val="0"/>
              <w:autoSpaceDE w:val="0"/>
              <w:autoSpaceDN w:val="0"/>
              <w:adjustRightInd w:val="0"/>
              <w:ind w:leftChars="0" w:right="0" w:rightChars="0"/>
              <w:textAlignment w:val="baseline"/>
              <w:rPr>
                <w:sz w:val="24"/>
                <w:lang w:eastAsia="zh-CN"/>
              </w:rPr>
            </w:pPr>
            <w:r>
              <w:rPr>
                <w:sz w:val="24"/>
              </w:rPr>
              <w:t>1.4 Evaluation of relaxed requirements</w:t>
            </w:r>
          </w:p>
          <w:p>
            <w:pPr>
              <w:overflowPunct w:val="0"/>
              <w:autoSpaceDE w:val="0"/>
              <w:autoSpaceDN w:val="0"/>
              <w:adjustRightInd w:val="0"/>
              <w:spacing w:after="180"/>
              <w:textAlignment w:val="baseline"/>
              <w:rPr>
                <w:b/>
                <w:lang w:eastAsia="zh-CN"/>
              </w:rPr>
            </w:pPr>
            <w:r>
              <w:rPr>
                <w:b/>
                <w:lang w:eastAsia="zh-CN"/>
              </w:rPr>
              <w:t>Way forward:</w:t>
            </w:r>
          </w:p>
          <w:p>
            <w:pPr>
              <w:pStyle w:val="34"/>
              <w:numPr>
                <w:ilvl w:val="0"/>
                <w:numId w:val="9"/>
              </w:numPr>
              <w:overflowPunct w:val="0"/>
              <w:autoSpaceDE w:val="0"/>
              <w:autoSpaceDN w:val="0"/>
              <w:adjustRightInd w:val="0"/>
              <w:spacing w:after="180"/>
              <w:ind w:firstLineChars="0"/>
              <w:textAlignment w:val="baseline"/>
              <w:rPr>
                <w:sz w:val="21"/>
                <w:szCs w:val="21"/>
                <w:lang w:eastAsia="zh-CN"/>
              </w:rPr>
            </w:pPr>
            <w:r>
              <w:rPr>
                <w:rFonts w:eastAsiaTheme="minorEastAsia"/>
                <w:sz w:val="21"/>
                <w:szCs w:val="21"/>
                <w:lang w:eastAsia="zh-CN"/>
              </w:rPr>
              <w:t>[</w:t>
            </w:r>
            <w:r>
              <w:rPr>
                <w:rFonts w:hint="eastAsia" w:eastAsiaTheme="minorEastAsia"/>
                <w:sz w:val="21"/>
                <w:szCs w:val="21"/>
                <w:lang w:eastAsia="zh-CN"/>
              </w:rPr>
              <w:t>N</w:t>
            </w:r>
            <w:r>
              <w:rPr>
                <w:rFonts w:eastAsiaTheme="minorEastAsia"/>
                <w:sz w:val="21"/>
                <w:szCs w:val="21"/>
                <w:lang w:eastAsia="zh-CN"/>
              </w:rPr>
              <w:t xml:space="preserve">o relaxation of ACLR/SEM/SE outside of the BS CBW for one operator holding spectrum for scenario 2, i.e. </w:t>
            </w:r>
            <w:r>
              <w:rPr>
                <w:sz w:val="21"/>
                <w:szCs w:val="21"/>
              </w:rPr>
              <w:t>Narrower UE channel BW within wider BS bandwidth]</w:t>
            </w:r>
          </w:p>
          <w:p>
            <w:pPr>
              <w:pStyle w:val="34"/>
              <w:numPr>
                <w:ilvl w:val="0"/>
                <w:numId w:val="9"/>
              </w:numPr>
              <w:overflowPunct w:val="0"/>
              <w:autoSpaceDE w:val="0"/>
              <w:autoSpaceDN w:val="0"/>
              <w:adjustRightInd w:val="0"/>
              <w:spacing w:after="180"/>
              <w:ind w:firstLineChars="0"/>
              <w:textAlignment w:val="baseline"/>
              <w:rPr>
                <w:sz w:val="21"/>
                <w:szCs w:val="21"/>
                <w:lang w:eastAsia="zh-CN"/>
              </w:rPr>
            </w:pPr>
            <w:r>
              <w:rPr>
                <w:rFonts w:hint="eastAsia" w:eastAsiaTheme="minorEastAsia"/>
                <w:sz w:val="21"/>
                <w:szCs w:val="21"/>
                <w:lang w:eastAsia="zh-CN"/>
              </w:rPr>
              <w:t>F</w:t>
            </w:r>
            <w:r>
              <w:rPr>
                <w:rFonts w:eastAsiaTheme="minorEastAsia"/>
                <w:sz w:val="21"/>
                <w:szCs w:val="21"/>
                <w:lang w:eastAsia="zh-CN"/>
              </w:rPr>
              <w:t>FS whether outer, edge or inner RB allocation is prioritized for further evaluation</w:t>
            </w:r>
          </w:p>
          <w:p>
            <w:pPr>
              <w:pStyle w:val="34"/>
              <w:numPr>
                <w:ilvl w:val="0"/>
                <w:numId w:val="9"/>
              </w:numPr>
              <w:overflowPunct w:val="0"/>
              <w:autoSpaceDE w:val="0"/>
              <w:autoSpaceDN w:val="0"/>
              <w:adjustRightInd w:val="0"/>
              <w:spacing w:after="180"/>
              <w:ind w:firstLineChars="0"/>
              <w:textAlignment w:val="baseline"/>
              <w:rPr>
                <w:sz w:val="21"/>
                <w:szCs w:val="21"/>
                <w:lang w:eastAsia="zh-CN"/>
              </w:rPr>
            </w:pPr>
            <w:r>
              <w:rPr>
                <w:sz w:val="21"/>
                <w:szCs w:val="21"/>
                <w:lang w:eastAsia="zh-CN"/>
              </w:rPr>
              <w:t>FFS impact on MPR by relaxing ACLR w/ or w/o relaxing SEM/Spurious Emissions</w:t>
            </w:r>
          </w:p>
          <w:p>
            <w:pPr>
              <w:pStyle w:val="34"/>
              <w:numPr>
                <w:ilvl w:val="0"/>
                <w:numId w:val="9"/>
              </w:numPr>
              <w:overflowPunct w:val="0"/>
              <w:autoSpaceDE w:val="0"/>
              <w:autoSpaceDN w:val="0"/>
              <w:adjustRightInd w:val="0"/>
              <w:spacing w:after="180"/>
              <w:ind w:firstLineChars="0"/>
              <w:textAlignment w:val="baseline"/>
              <w:rPr>
                <w:rFonts w:hint="default"/>
                <w:b/>
                <w:bCs/>
                <w:i/>
                <w:iCs/>
                <w:sz w:val="20"/>
                <w:szCs w:val="20"/>
                <w:vertAlign w:val="baseline"/>
                <w:lang w:val="en-US" w:eastAsia="zh-CN"/>
              </w:rPr>
            </w:pPr>
            <w:r>
              <w:rPr>
                <w:rFonts w:hint="eastAsia" w:eastAsiaTheme="minorEastAsia"/>
                <w:sz w:val="21"/>
                <w:szCs w:val="21"/>
                <w:lang w:eastAsia="zh-CN"/>
              </w:rPr>
              <w:t>F</w:t>
            </w:r>
            <w:r>
              <w:rPr>
                <w:rFonts w:eastAsiaTheme="minorEastAsia"/>
                <w:sz w:val="21"/>
                <w:szCs w:val="21"/>
                <w:lang w:eastAsia="zh-CN"/>
              </w:rPr>
              <w:t xml:space="preserve">FS whether IBE is considered instead of the relaxed ACLR/SEM/SE for the region between UE CBW </w:t>
            </w:r>
            <w:r>
              <w:rPr>
                <w:rFonts w:hint="eastAsia" w:eastAsiaTheme="minorEastAsia"/>
                <w:sz w:val="21"/>
                <w:szCs w:val="21"/>
                <w:lang w:eastAsia="zh-CN"/>
              </w:rPr>
              <w:t>and</w:t>
            </w:r>
            <w:r>
              <w:rPr>
                <w:rFonts w:eastAsiaTheme="minorEastAsia"/>
                <w:sz w:val="21"/>
                <w:szCs w:val="21"/>
                <w:lang w:eastAsia="zh-CN"/>
              </w:rPr>
              <w:t xml:space="preserve"> BS CBW.</w:t>
            </w:r>
          </w:p>
        </w:tc>
      </w:tr>
    </w:tbl>
    <w:p>
      <w:pPr>
        <w:rPr>
          <w:rFonts w:hint="eastAsia"/>
          <w:sz w:val="20"/>
          <w:szCs w:val="20"/>
          <w:lang w:val="en-US" w:eastAsia="zh-CN"/>
        </w:rPr>
      </w:pPr>
      <w:r>
        <w:rPr>
          <w:rFonts w:hint="eastAsia"/>
          <w:sz w:val="20"/>
          <w:szCs w:val="20"/>
          <w:lang w:val="en-US" w:eastAsia="zh-CN"/>
        </w:rPr>
        <w:t>According to the current MPR requirements for</w:t>
      </w:r>
      <w:r>
        <w:rPr>
          <w:rFonts w:ascii="Times New Roman" w:hAnsi="Times New Roman" w:cs="Times New Roman"/>
          <w:sz w:val="20"/>
          <w:szCs w:val="20"/>
        </w:rPr>
        <w:t xml:space="preserve"> PC2 and PC3</w:t>
      </w:r>
      <w:r>
        <w:rPr>
          <w:rFonts w:hint="eastAsia" w:cs="Times New Roman"/>
          <w:sz w:val="20"/>
          <w:szCs w:val="20"/>
          <w:lang w:val="en-US" w:eastAsia="zh-CN"/>
        </w:rPr>
        <w:t xml:space="preserve"> for QPSK and 16QAM, as depicted in the following tables, it is evident that PC2 and PC3 share identical MPR requirements for both outer and inner RB allocations. Moreover, MPR is fixed at 0 dB for inner RB allocation with </w:t>
      </w:r>
      <w:r>
        <w:rPr>
          <w:sz w:val="20"/>
          <w:szCs w:val="20"/>
        </w:rPr>
        <w:t>DFT-s-OFDM</w:t>
      </w:r>
      <w:r>
        <w:rPr>
          <w:rFonts w:hint="eastAsia"/>
          <w:sz w:val="20"/>
          <w:szCs w:val="20"/>
          <w:lang w:val="en-US" w:eastAsia="zh-CN"/>
        </w:rPr>
        <w:t xml:space="preserve"> QPSK, indicating no room for MPR reduction. Compared with inner RB allocation, MPR for outer RB allocation is larger. Hence, we propose that MPR reduction for outer RB allocation is prioritized.</w:t>
      </w:r>
    </w:p>
    <w:p>
      <w:pPr>
        <w:rPr>
          <w:rFonts w:hint="default"/>
          <w:sz w:val="20"/>
          <w:szCs w:val="20"/>
          <w:lang w:val="en-US" w:eastAsia="zh-CN"/>
        </w:rPr>
      </w:pPr>
      <w:r>
        <w:rPr>
          <w:rFonts w:hint="eastAsia"/>
          <w:b/>
          <w:bCs/>
          <w:i/>
          <w:iCs/>
          <w:sz w:val="20"/>
          <w:szCs w:val="20"/>
          <w:lang w:val="en-US" w:eastAsia="zh-CN"/>
        </w:rPr>
        <w:t>Proposal 2: We propose that MPR reduction for outer RB allocation is prioritized.</w:t>
      </w:r>
    </w:p>
    <w:p>
      <w:pPr>
        <w:pStyle w:val="56"/>
      </w:pPr>
      <w:r>
        <w:t>Table 6.2.2-1 Maximum power reduction (MPR) for power class 3</w:t>
      </w:r>
    </w:p>
    <w:tbl>
      <w:tblPr>
        <w:tblStyle w:val="23"/>
        <w:tblW w:w="9577"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305"/>
        <w:gridCol w:w="1327"/>
        <w:gridCol w:w="2268"/>
        <w:gridCol w:w="255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632" w:type="dxa"/>
            <w:gridSpan w:val="2"/>
            <w:tcBorders>
              <w:top w:val="single" w:color="auto" w:sz="4" w:space="0"/>
              <w:left w:val="single" w:color="auto" w:sz="4" w:space="0"/>
              <w:bottom w:val="nil"/>
              <w:right w:val="single" w:color="auto" w:sz="4" w:space="0"/>
            </w:tcBorders>
            <w:shd w:val="clear" w:color="auto" w:fill="auto"/>
            <w:vAlign w:val="center"/>
          </w:tcPr>
          <w:p>
            <w:pPr>
              <w:pStyle w:val="65"/>
              <w:keepNext/>
              <w:keepLines/>
              <w:pageBreakBefore w:val="0"/>
              <w:widowControl/>
              <w:kinsoku/>
              <w:wordWrap/>
              <w:overflowPunct/>
              <w:topLinePunct w:val="0"/>
              <w:autoSpaceDE/>
              <w:autoSpaceDN/>
              <w:bidi w:val="0"/>
              <w:adjustRightInd/>
              <w:snapToGrid w:val="0"/>
              <w:spacing w:beforeLines="0" w:afterLines="0" w:line="240" w:lineRule="auto"/>
              <w:textAlignment w:val="auto"/>
            </w:pPr>
            <w:r>
              <w:t>Modulation</w:t>
            </w:r>
          </w:p>
        </w:tc>
        <w:tc>
          <w:tcPr>
            <w:tcW w:w="6945" w:type="dxa"/>
            <w:gridSpan w:val="3"/>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val="0"/>
              <w:spacing w:beforeLines="0" w:afterLines="0" w:line="240" w:lineRule="auto"/>
              <w:textAlignment w:val="auto"/>
            </w:pPr>
            <w:r>
              <w:t>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632" w:type="dxa"/>
            <w:gridSpan w:val="2"/>
            <w:tcBorders>
              <w:top w:val="nil"/>
              <w:left w:val="single" w:color="auto" w:sz="4" w:space="0"/>
              <w:bottom w:val="single" w:color="auto" w:sz="4" w:space="0"/>
              <w:right w:val="single" w:color="auto" w:sz="4" w:space="0"/>
            </w:tcBorders>
            <w:shd w:val="clear" w:color="auto" w:fill="auto"/>
            <w:vAlign w:val="center"/>
          </w:tcPr>
          <w:p>
            <w:pPr>
              <w:pStyle w:val="65"/>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cs="Arial"/>
              </w:rPr>
            </w:pPr>
          </w:p>
        </w:tc>
        <w:tc>
          <w:tcPr>
            <w:tcW w:w="2268"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val="0"/>
              <w:spacing w:beforeLines="0" w:afterLines="0" w:line="240" w:lineRule="auto"/>
              <w:textAlignment w:val="auto"/>
            </w:pPr>
            <w:r>
              <w:t>Edge RB allocations</w:t>
            </w:r>
          </w:p>
        </w:tc>
        <w:tc>
          <w:tcPr>
            <w:tcW w:w="2551"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val="0"/>
              <w:spacing w:beforeLines="0" w:afterLines="0" w:line="240" w:lineRule="auto"/>
              <w:textAlignment w:val="auto"/>
            </w:pPr>
            <w:r>
              <w:t>Outer RB allocations</w:t>
            </w:r>
          </w:p>
        </w:tc>
        <w:tc>
          <w:tcPr>
            <w:tcW w:w="2126"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val="0"/>
              <w:spacing w:beforeLines="0" w:afterLines="0" w:line="240" w:lineRule="auto"/>
              <w:textAlignment w:val="auto"/>
            </w:pPr>
            <w:r>
              <w:t>Inner RB allocations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305" w:type="dxa"/>
            <w:tcBorders>
              <w:top w:val="nil"/>
              <w:left w:val="single" w:color="auto" w:sz="4" w:space="0"/>
              <w:bottom w:val="nil"/>
              <w:right w:val="single" w:color="auto" w:sz="4" w:space="0"/>
            </w:tcBorders>
            <w:shd w:val="clear" w:color="auto" w:fill="auto"/>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pPr>
            <w:r>
              <w:t>DFT-s-OFDM</w:t>
            </w:r>
          </w:p>
        </w:tc>
        <w:tc>
          <w:tcPr>
            <w:tcW w:w="132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pPr>
            <w:r>
              <w:t>QPSK</w:t>
            </w:r>
          </w:p>
        </w:tc>
        <w:tc>
          <w:tcPr>
            <w:tcW w:w="4819" w:type="dxa"/>
            <w:gridSpan w:val="2"/>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pPr>
            <w:r>
              <w:t xml:space="preserve">≤ </w:t>
            </w:r>
            <w:r>
              <w:rPr>
                <w:lang w:val="en-CA"/>
              </w:rPr>
              <w:t>1</w:t>
            </w:r>
          </w:p>
        </w:tc>
        <w:tc>
          <w:tcPr>
            <w:tcW w:w="2126"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pPr>
            <w:r>
              <w:rPr>
                <w:lang w:val="en-CA"/>
              </w:rPr>
              <w:t>0</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305" w:type="dxa"/>
            <w:tcBorders>
              <w:top w:val="nil"/>
              <w:left w:val="single" w:color="auto" w:sz="4" w:space="0"/>
              <w:bottom w:val="nil"/>
              <w:right w:val="single" w:color="auto" w:sz="4" w:space="0"/>
            </w:tcBorders>
            <w:shd w:val="clear" w:color="auto" w:fill="auto"/>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pPr>
          </w:p>
        </w:tc>
        <w:tc>
          <w:tcPr>
            <w:tcW w:w="132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pPr>
            <w:r>
              <w:t>16 QAM</w:t>
            </w:r>
          </w:p>
        </w:tc>
        <w:tc>
          <w:tcPr>
            <w:tcW w:w="4819" w:type="dxa"/>
            <w:gridSpan w:val="2"/>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pPr>
            <w:r>
              <w:t xml:space="preserve">≤ </w:t>
            </w:r>
            <w:r>
              <w:rPr>
                <w:lang w:val="en-CA"/>
              </w:rPr>
              <w:t>2</w:t>
            </w:r>
          </w:p>
        </w:tc>
        <w:tc>
          <w:tcPr>
            <w:tcW w:w="2126"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pPr>
            <w:r>
              <w:t xml:space="preserve">≤ </w:t>
            </w:r>
            <w:r>
              <w:rPr>
                <w:lang w:val="en-C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305" w:type="dxa"/>
            <w:tcBorders>
              <w:top w:val="single" w:color="auto" w:sz="4" w:space="0"/>
              <w:left w:val="single" w:color="auto" w:sz="4" w:space="0"/>
              <w:bottom w:val="nil"/>
              <w:right w:val="single" w:color="auto" w:sz="4" w:space="0"/>
            </w:tcBorders>
            <w:shd w:val="clear" w:color="auto" w:fill="auto"/>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lang w:eastAsia="zh-CN"/>
              </w:rPr>
            </w:pPr>
            <w:r>
              <w:t>CP-OFDM</w:t>
            </w:r>
          </w:p>
        </w:tc>
        <w:tc>
          <w:tcPr>
            <w:tcW w:w="132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lang w:eastAsia="zh-CN"/>
              </w:rPr>
            </w:pPr>
            <w:r>
              <w:t>QPSK</w:t>
            </w:r>
          </w:p>
        </w:tc>
        <w:tc>
          <w:tcPr>
            <w:tcW w:w="4819" w:type="dxa"/>
            <w:gridSpan w:val="2"/>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pPr>
            <w:r>
              <w:t xml:space="preserve">≤ </w:t>
            </w:r>
            <w:r>
              <w:rPr>
                <w:lang w:val="en-CA"/>
              </w:rPr>
              <w:t>3</w:t>
            </w:r>
          </w:p>
        </w:tc>
        <w:tc>
          <w:tcPr>
            <w:tcW w:w="2126"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pPr>
            <w:r>
              <w:t>≤</w:t>
            </w:r>
            <w:r>
              <w:rPr>
                <w:lang w:val="en-CA"/>
              </w:rPr>
              <w:t xml:space="preserve">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305" w:type="dxa"/>
            <w:tcBorders>
              <w:top w:val="nil"/>
              <w:left w:val="single" w:color="auto" w:sz="4" w:space="0"/>
              <w:bottom w:val="single" w:color="auto" w:sz="4" w:space="0"/>
              <w:right w:val="single" w:color="auto" w:sz="4" w:space="0"/>
            </w:tcBorders>
            <w:shd w:val="clear" w:color="auto" w:fill="auto"/>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lang w:eastAsia="zh-CN"/>
              </w:rPr>
            </w:pPr>
          </w:p>
        </w:tc>
        <w:tc>
          <w:tcPr>
            <w:tcW w:w="132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lang w:eastAsia="zh-CN"/>
              </w:rPr>
            </w:pPr>
            <w:r>
              <w:t>16 QAM</w:t>
            </w:r>
          </w:p>
        </w:tc>
        <w:tc>
          <w:tcPr>
            <w:tcW w:w="4819" w:type="dxa"/>
            <w:gridSpan w:val="2"/>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pPr>
            <w:r>
              <w:t>≤ 3</w:t>
            </w:r>
          </w:p>
        </w:tc>
        <w:tc>
          <w:tcPr>
            <w:tcW w:w="2126"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pPr>
            <w:r>
              <w:t xml:space="preserve">≤ </w:t>
            </w:r>
            <w:r>
              <w:rPr>
                <w:lang w:val="en-CA"/>
              </w:rPr>
              <w:t>2</w:t>
            </w:r>
          </w:p>
        </w:tc>
      </w:tr>
    </w:tbl>
    <w:p>
      <w:pPr>
        <w:pStyle w:val="56"/>
      </w:pPr>
      <w:r>
        <w:t>Table 6.2.2-2 Maximum power reduction (MPR) for power class 2</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3"/>
        <w:gridCol w:w="1304"/>
        <w:gridCol w:w="2097"/>
        <w:gridCol w:w="2097"/>
        <w:gridCol w:w="2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7" w:type="dxa"/>
            <w:gridSpan w:val="2"/>
            <w:tcBorders>
              <w:top w:val="single" w:color="auto" w:sz="4" w:space="0"/>
              <w:left w:val="single" w:color="auto" w:sz="4" w:space="0"/>
              <w:bottom w:val="nil"/>
              <w:right w:val="single" w:color="auto" w:sz="4" w:space="0"/>
            </w:tcBorders>
            <w:shd w:val="clear" w:color="auto" w:fill="auto"/>
          </w:tcPr>
          <w:p>
            <w:pPr>
              <w:pStyle w:val="65"/>
              <w:keepNext/>
              <w:keepLines/>
              <w:pageBreakBefore w:val="0"/>
              <w:widowControl/>
              <w:kinsoku/>
              <w:wordWrap/>
              <w:overflowPunct/>
              <w:topLinePunct w:val="0"/>
              <w:autoSpaceDE/>
              <w:autoSpaceDN/>
              <w:bidi w:val="0"/>
              <w:adjustRightInd/>
              <w:snapToGrid w:val="0"/>
              <w:spacing w:beforeLines="0" w:afterLines="0" w:line="240" w:lineRule="auto"/>
              <w:textAlignment w:val="auto"/>
            </w:pPr>
            <w:r>
              <w:t>Modulation</w:t>
            </w:r>
          </w:p>
        </w:tc>
        <w:tc>
          <w:tcPr>
            <w:tcW w:w="6251" w:type="dxa"/>
            <w:gridSpan w:val="3"/>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val="0"/>
              <w:spacing w:beforeLines="0" w:afterLines="0" w:line="240" w:lineRule="auto"/>
              <w:textAlignment w:val="auto"/>
            </w:pPr>
            <w:r>
              <w:t>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2707" w:type="dxa"/>
            <w:gridSpan w:val="2"/>
            <w:tcBorders>
              <w:top w:val="nil"/>
              <w:left w:val="single" w:color="auto" w:sz="4" w:space="0"/>
              <w:bottom w:val="single" w:color="auto" w:sz="4" w:space="0"/>
              <w:right w:val="single" w:color="auto" w:sz="4" w:space="0"/>
            </w:tcBorders>
            <w:shd w:val="clear" w:color="auto" w:fill="auto"/>
          </w:tcPr>
          <w:p>
            <w:pPr>
              <w:pStyle w:val="65"/>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cs="Arial"/>
              </w:rPr>
            </w:pPr>
          </w:p>
        </w:tc>
        <w:tc>
          <w:tcPr>
            <w:tcW w:w="2097"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val="0"/>
              <w:spacing w:beforeLines="0" w:afterLines="0" w:line="240" w:lineRule="auto"/>
              <w:textAlignment w:val="auto"/>
            </w:pPr>
            <w:r>
              <w:t>Edge RB allocations</w:t>
            </w:r>
          </w:p>
        </w:tc>
        <w:tc>
          <w:tcPr>
            <w:tcW w:w="2097"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val="0"/>
              <w:spacing w:beforeLines="0" w:afterLines="0" w:line="240" w:lineRule="auto"/>
              <w:textAlignment w:val="auto"/>
            </w:pPr>
            <w:r>
              <w:t>Outer RB allocations</w:t>
            </w:r>
          </w:p>
        </w:tc>
        <w:tc>
          <w:tcPr>
            <w:tcW w:w="2057"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val="0"/>
              <w:spacing w:beforeLines="0" w:afterLines="0" w:line="240" w:lineRule="auto"/>
              <w:textAlignment w:val="auto"/>
            </w:pPr>
            <w:r>
              <w:t>Inner RB allocations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3" w:type="dxa"/>
            <w:tcBorders>
              <w:top w:val="nil"/>
              <w:left w:val="single" w:color="auto" w:sz="4" w:space="0"/>
              <w:bottom w:val="nil"/>
              <w:right w:val="single" w:color="auto" w:sz="4" w:space="0"/>
            </w:tcBorders>
            <w:shd w:val="clear" w:color="auto" w:fill="auto"/>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pPr>
            <w:r>
              <w:t>DFT-s-OFDM</w:t>
            </w:r>
          </w:p>
        </w:tc>
        <w:tc>
          <w:tcPr>
            <w:tcW w:w="1304"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cs="Arial"/>
              </w:rPr>
            </w:pPr>
            <w:r>
              <w:rPr>
                <w:rFonts w:cs="Arial"/>
              </w:rPr>
              <w:t>QPSK</w:t>
            </w:r>
          </w:p>
        </w:tc>
        <w:tc>
          <w:tcPr>
            <w:tcW w:w="209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cs="Arial"/>
              </w:rPr>
            </w:pPr>
            <w:r>
              <w:rPr>
                <w:rFonts w:cs="Arial"/>
              </w:rPr>
              <w:t>≤ 3.5</w:t>
            </w:r>
          </w:p>
        </w:tc>
        <w:tc>
          <w:tcPr>
            <w:tcW w:w="209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cs="Arial"/>
              </w:rPr>
            </w:pPr>
            <w:r>
              <w:rPr>
                <w:rFonts w:cs="Arial"/>
              </w:rPr>
              <w:t xml:space="preserve">≤ </w:t>
            </w:r>
            <w:r>
              <w:rPr>
                <w:rFonts w:cs="Arial"/>
                <w:lang w:val="en-CA"/>
              </w:rPr>
              <w:t>1</w:t>
            </w:r>
          </w:p>
        </w:tc>
        <w:tc>
          <w:tcPr>
            <w:tcW w:w="2057" w:type="dxa"/>
            <w:tcBorders>
              <w:top w:val="single" w:color="auto" w:sz="4" w:space="0"/>
              <w:left w:val="single" w:color="auto" w:sz="4" w:space="0"/>
              <w:bottom w:val="nil"/>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cs="Arial"/>
              </w:rPr>
            </w:pPr>
            <w:r>
              <w:rPr>
                <w:rFonts w:cs="Arial"/>
                <w:lang w:val="en-CA"/>
              </w:rPr>
              <w:t>0</w:t>
            </w:r>
            <w:r>
              <w:rPr>
                <w:rFonts w:cs="Arial"/>
                <w:vertAlign w:val="superscript"/>
                <w:lang w:val="en-C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3" w:type="dxa"/>
            <w:tcBorders>
              <w:top w:val="nil"/>
              <w:left w:val="single" w:color="auto" w:sz="4" w:space="0"/>
              <w:bottom w:val="nil"/>
              <w:right w:val="single" w:color="auto" w:sz="4" w:space="0"/>
            </w:tcBorders>
            <w:shd w:val="clear" w:color="auto" w:fill="auto"/>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pPr>
          </w:p>
        </w:tc>
        <w:tc>
          <w:tcPr>
            <w:tcW w:w="1304"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cs="Arial"/>
              </w:rPr>
            </w:pPr>
            <w:r>
              <w:rPr>
                <w:rFonts w:cs="Arial"/>
              </w:rPr>
              <w:t>16 QAM</w:t>
            </w:r>
          </w:p>
        </w:tc>
        <w:tc>
          <w:tcPr>
            <w:tcW w:w="209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cs="Arial"/>
              </w:rPr>
            </w:pPr>
            <w:r>
              <w:rPr>
                <w:rFonts w:cs="Arial"/>
              </w:rPr>
              <w:t>≤ 3.5</w:t>
            </w:r>
          </w:p>
        </w:tc>
        <w:tc>
          <w:tcPr>
            <w:tcW w:w="209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cs="Arial"/>
              </w:rPr>
            </w:pPr>
            <w:r>
              <w:rPr>
                <w:rFonts w:cs="Arial"/>
              </w:rPr>
              <w:t xml:space="preserve">≤ </w:t>
            </w:r>
            <w:r>
              <w:rPr>
                <w:rFonts w:cs="Arial"/>
                <w:lang w:val="en-CA"/>
              </w:rPr>
              <w:t>2</w:t>
            </w:r>
          </w:p>
        </w:tc>
        <w:tc>
          <w:tcPr>
            <w:tcW w:w="205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cs="Arial"/>
              </w:rPr>
            </w:pPr>
            <w:r>
              <w:rPr>
                <w:rFonts w:cs="Arial"/>
              </w:rPr>
              <w:t xml:space="preserve">≤ </w:t>
            </w:r>
            <w:r>
              <w:rPr>
                <w:rFonts w:cs="Arial"/>
                <w:lang w:val="en-C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3" w:type="dxa"/>
            <w:tcBorders>
              <w:top w:val="single" w:color="auto" w:sz="4" w:space="0"/>
              <w:left w:val="single" w:color="auto" w:sz="4" w:space="0"/>
              <w:bottom w:val="nil"/>
              <w:right w:val="single" w:color="auto" w:sz="4" w:space="0"/>
            </w:tcBorders>
            <w:shd w:val="clear" w:color="auto" w:fill="auto"/>
            <w:vAlign w:val="center"/>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cs="Arial"/>
                <w:lang w:eastAsia="zh-CN"/>
              </w:rPr>
            </w:pPr>
            <w:r>
              <w:rPr>
                <w:rFonts w:cs="Arial"/>
              </w:rPr>
              <w:t>CP-OFDM</w:t>
            </w:r>
          </w:p>
        </w:tc>
        <w:tc>
          <w:tcPr>
            <w:tcW w:w="1304"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cs="Arial"/>
                <w:lang w:eastAsia="zh-CN"/>
              </w:rPr>
            </w:pPr>
            <w:r>
              <w:rPr>
                <w:rFonts w:cs="Arial"/>
              </w:rPr>
              <w:t>QPSK</w:t>
            </w:r>
          </w:p>
        </w:tc>
        <w:tc>
          <w:tcPr>
            <w:tcW w:w="209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cs="Arial"/>
              </w:rPr>
            </w:pPr>
            <w:r>
              <w:rPr>
                <w:rFonts w:cs="Arial"/>
              </w:rPr>
              <w:t>≤ 3.5</w:t>
            </w:r>
          </w:p>
        </w:tc>
        <w:tc>
          <w:tcPr>
            <w:tcW w:w="209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cs="Arial"/>
              </w:rPr>
            </w:pPr>
            <w:r>
              <w:rPr>
                <w:rFonts w:cs="Arial"/>
              </w:rPr>
              <w:t xml:space="preserve">≤ </w:t>
            </w:r>
            <w:r>
              <w:rPr>
                <w:rFonts w:cs="Arial"/>
                <w:lang w:val="en-CA"/>
              </w:rPr>
              <w:t>3</w:t>
            </w:r>
          </w:p>
        </w:tc>
        <w:tc>
          <w:tcPr>
            <w:tcW w:w="205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cs="Arial"/>
              </w:rPr>
            </w:pPr>
            <w:r>
              <w:rPr>
                <w:rFonts w:cs="Arial"/>
              </w:rPr>
              <w:t>≤</w:t>
            </w:r>
            <w:r>
              <w:rPr>
                <w:rFonts w:cs="Arial"/>
                <w:lang w:val="en-CA"/>
              </w:rPr>
              <w:t xml:space="preserve">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3" w:type="dxa"/>
            <w:tcBorders>
              <w:top w:val="nil"/>
              <w:left w:val="single" w:color="auto" w:sz="4" w:space="0"/>
              <w:bottom w:val="single" w:color="auto" w:sz="4" w:space="0"/>
              <w:right w:val="single" w:color="auto" w:sz="4" w:space="0"/>
            </w:tcBorders>
            <w:shd w:val="clear" w:color="auto" w:fill="auto"/>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cs="Arial"/>
                <w:lang w:eastAsia="zh-CN"/>
              </w:rPr>
            </w:pPr>
          </w:p>
        </w:tc>
        <w:tc>
          <w:tcPr>
            <w:tcW w:w="1304"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cs="Arial"/>
                <w:lang w:eastAsia="zh-CN"/>
              </w:rPr>
            </w:pPr>
            <w:r>
              <w:rPr>
                <w:rFonts w:cs="Arial"/>
              </w:rPr>
              <w:t>16 QAM</w:t>
            </w:r>
          </w:p>
        </w:tc>
        <w:tc>
          <w:tcPr>
            <w:tcW w:w="209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cs="Arial"/>
              </w:rPr>
            </w:pPr>
            <w:r>
              <w:rPr>
                <w:rFonts w:cs="Arial"/>
              </w:rPr>
              <w:t>≤ 3.5</w:t>
            </w:r>
          </w:p>
        </w:tc>
        <w:tc>
          <w:tcPr>
            <w:tcW w:w="209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cs="Arial"/>
              </w:rPr>
            </w:pPr>
            <w:r>
              <w:rPr>
                <w:rFonts w:cs="Arial"/>
              </w:rPr>
              <w:t>≤ 3</w:t>
            </w:r>
          </w:p>
        </w:tc>
        <w:tc>
          <w:tcPr>
            <w:tcW w:w="205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cs="Arial"/>
              </w:rPr>
            </w:pPr>
            <w:r>
              <w:rPr>
                <w:rFonts w:cs="Arial"/>
              </w:rPr>
              <w:t xml:space="preserve">≤ </w:t>
            </w:r>
            <w:r>
              <w:rPr>
                <w:rFonts w:cs="Arial"/>
                <w:lang w:val="en-CA"/>
              </w:rPr>
              <w:t>2</w:t>
            </w:r>
          </w:p>
        </w:tc>
      </w:tr>
    </w:tbl>
    <w:p>
      <w:pPr>
        <w:rPr>
          <w:rFonts w:hint="eastAsia"/>
          <w:b/>
          <w:bCs/>
          <w:sz w:val="20"/>
          <w:szCs w:val="20"/>
          <w:lang w:val="en-US" w:eastAsia="zh-CN"/>
        </w:rPr>
      </w:pPr>
      <w:r>
        <w:rPr>
          <w:rFonts w:hint="eastAsia"/>
          <w:b/>
          <w:bCs/>
          <w:sz w:val="20"/>
          <w:szCs w:val="20"/>
          <w:lang w:val="en-US" w:eastAsia="zh-CN"/>
        </w:rPr>
        <w:t>Scenario 1-1: Scenario with no adjacent in-band/out-of-band co-existence issue (single operator)</w:t>
      </w:r>
    </w:p>
    <w:p>
      <w:pPr>
        <w:rPr>
          <w:rFonts w:hint="eastAsia"/>
          <w:sz w:val="20"/>
          <w:szCs w:val="20"/>
          <w:lang w:val="en-US" w:eastAsia="zh-CN"/>
        </w:rPr>
      </w:pPr>
      <w:r>
        <w:rPr>
          <w:rFonts w:hint="eastAsia"/>
          <w:sz w:val="20"/>
          <w:szCs w:val="20"/>
          <w:lang w:val="en-US" w:eastAsia="zh-CN"/>
        </w:rPr>
        <w:t xml:space="preserve">For scenario 1-1, </w:t>
      </w:r>
      <w:r>
        <w:rPr>
          <w:rFonts w:hint="default"/>
          <w:sz w:val="20"/>
          <w:szCs w:val="20"/>
          <w:lang w:val="en-US" w:eastAsia="zh-CN"/>
        </w:rPr>
        <w:t>“</w:t>
      </w:r>
      <w:r>
        <w:rPr>
          <w:rFonts w:hint="eastAsia"/>
          <w:sz w:val="20"/>
          <w:szCs w:val="20"/>
          <w:lang w:val="en-US" w:eastAsia="zh-CN"/>
        </w:rPr>
        <w:t>no adjacent out-of-band co-existence issue</w:t>
      </w:r>
      <w:r>
        <w:rPr>
          <w:rFonts w:hint="default"/>
          <w:sz w:val="20"/>
          <w:szCs w:val="20"/>
          <w:lang w:val="en-US" w:eastAsia="zh-CN"/>
        </w:rPr>
        <w:t>”</w:t>
      </w:r>
      <w:r>
        <w:rPr>
          <w:rFonts w:hint="eastAsia"/>
          <w:sz w:val="20"/>
          <w:szCs w:val="20"/>
          <w:lang w:val="en-US" w:eastAsia="zh-CN"/>
        </w:rPr>
        <w:t xml:space="preserve"> denotes there are no close frequency spectrum belonging to different operators, like band n41 deployment in China, where all the band n41 frequency spectrum is allocated for one operator. Similarly, </w:t>
      </w:r>
      <w:r>
        <w:rPr>
          <w:rFonts w:hint="default"/>
          <w:sz w:val="20"/>
          <w:szCs w:val="20"/>
          <w:lang w:val="en-US" w:eastAsia="zh-CN"/>
        </w:rPr>
        <w:t>“</w:t>
      </w:r>
      <w:r>
        <w:rPr>
          <w:rFonts w:hint="eastAsia"/>
          <w:sz w:val="20"/>
          <w:szCs w:val="20"/>
          <w:lang w:val="en-US" w:eastAsia="zh-CN"/>
        </w:rPr>
        <w:t>no adjacent in-band co-existence issue</w:t>
      </w:r>
      <w:r>
        <w:rPr>
          <w:rFonts w:hint="default"/>
          <w:sz w:val="20"/>
          <w:szCs w:val="20"/>
          <w:lang w:val="en-US" w:eastAsia="zh-CN"/>
        </w:rPr>
        <w:t>”</w:t>
      </w:r>
      <w:r>
        <w:rPr>
          <w:rFonts w:hint="eastAsia"/>
          <w:sz w:val="20"/>
          <w:szCs w:val="20"/>
          <w:lang w:val="en-US" w:eastAsia="zh-CN"/>
        </w:rPr>
        <w:t xml:space="preserve"> means the in-band co-existence scheduled for different UE can be handled by the operator. In this case, it may be feasible to relax UE ACLR/SEM requirement for further MPR reduction. </w:t>
      </w:r>
    </w:p>
    <w:p>
      <w:pPr>
        <w:rPr>
          <w:rFonts w:hint="eastAsia"/>
          <w:b w:val="0"/>
          <w:sz w:val="20"/>
          <w:szCs w:val="20"/>
          <w:lang w:val="en-US" w:eastAsia="zh-CN"/>
        </w:rPr>
      </w:pPr>
      <w:r>
        <w:rPr>
          <w:rFonts w:hint="eastAsia"/>
          <w:sz w:val="20"/>
          <w:szCs w:val="20"/>
          <w:lang w:val="en-US" w:eastAsia="zh-CN"/>
        </w:rPr>
        <w:t xml:space="preserve">Initially, we conducted simulations to gauge the potential MPR reduction achievable for outer RB allocation when only ACLR is relaxed by 1-2 dB, with results detailed in the annex. From our simulation results, it can be observed that MPR reduction is about 0.3 dB for QPSK/ 16QAM with </w:t>
      </w:r>
      <w:r>
        <w:rPr>
          <w:rFonts w:hint="eastAsia" w:ascii="Times New Roman" w:hAnsi="Times New Roman" w:eastAsia="宋体"/>
          <w:b w:val="0"/>
          <w:sz w:val="20"/>
          <w:szCs w:val="20"/>
          <w:lang w:val="en-US" w:eastAsia="zh-CN"/>
        </w:rPr>
        <w:t>DFT-s-OFDM</w:t>
      </w:r>
      <w:r>
        <w:rPr>
          <w:rFonts w:hint="eastAsia"/>
          <w:b w:val="0"/>
          <w:sz w:val="20"/>
          <w:szCs w:val="20"/>
          <w:lang w:val="en-US" w:eastAsia="zh-CN"/>
        </w:rPr>
        <w:t>, and 0.4 dB for CP-OFDM, respectively, when ACLR is relaxed by 1 dB. Further relaxation to 2 dB yields MPR reductions of up to 0.6 dB for DFT-s-OFDM and 0.8 dB for CP-OFDM with QPSK/16QAM.</w:t>
      </w:r>
    </w:p>
    <w:p>
      <w:pPr>
        <w:rPr>
          <w:rFonts w:hint="eastAsia"/>
          <w:b/>
          <w:bCs/>
          <w:i/>
          <w:iCs/>
          <w:sz w:val="20"/>
          <w:szCs w:val="20"/>
          <w:lang w:val="en-US" w:eastAsia="zh-CN"/>
        </w:rPr>
      </w:pPr>
      <w:r>
        <w:rPr>
          <w:rFonts w:hint="eastAsia"/>
          <w:b/>
          <w:bCs/>
          <w:i/>
          <w:iCs/>
          <w:sz w:val="20"/>
          <w:szCs w:val="20"/>
          <w:lang w:val="en-US" w:eastAsia="zh-CN"/>
        </w:rPr>
        <w:t>Observation 2: Our simulation results demonstrate that when ACLR is relaxed by 2 dB, MPR reduction can reach up to 0.6 dB for DFT-s-OFDM and 0.8 dB for CP-OFDM with QPSK/16QAM.</w:t>
      </w:r>
    </w:p>
    <w:p>
      <w:pPr>
        <w:rPr>
          <w:rFonts w:hint="eastAsia"/>
          <w:sz w:val="20"/>
          <w:szCs w:val="20"/>
          <w:lang w:val="en-US" w:eastAsia="zh-CN"/>
        </w:rPr>
      </w:pPr>
      <w:r>
        <w:rPr>
          <w:rFonts w:hint="eastAsia"/>
          <w:sz w:val="20"/>
          <w:szCs w:val="20"/>
          <w:lang w:val="en-US" w:eastAsia="zh-CN"/>
        </w:rPr>
        <w:t>Subsequently, we also discover that even with a 2 dB relaxation in ACLR, it remains the limiting factor for MPR. Furthermore, an examination of Power Spectral Density (PSD), particularly for DFT-s-OFDM QPSK, indicates that the PSD remains far from SEM limits, even with ACLR relaxed from 30 dB to 28 dB. Consequently, further relaxation of SEM will not result in additional MPR reduction when relaxing ACLR, and there is no need to relax ACLR with SEM.</w:t>
      </w:r>
    </w:p>
    <w:p>
      <w:pPr>
        <w:rPr>
          <w:rFonts w:hint="eastAsia"/>
          <w:b/>
          <w:bCs/>
          <w:i/>
          <w:iCs/>
          <w:sz w:val="20"/>
          <w:szCs w:val="20"/>
          <w:lang w:val="en-US" w:eastAsia="zh-CN"/>
        </w:rPr>
      </w:pPr>
      <w:r>
        <w:rPr>
          <w:rFonts w:hint="eastAsia"/>
          <w:b/>
          <w:bCs/>
          <w:i/>
          <w:iCs/>
          <w:sz w:val="20"/>
          <w:szCs w:val="20"/>
          <w:lang w:val="en-US" w:eastAsia="zh-CN"/>
        </w:rPr>
        <w:t>Proposal 3: Further relaxation of SEM will not result in additional MPR reduction when relaxing ACLR, and there is no need to relax ACLR with SEM.</w:t>
      </w:r>
    </w:p>
    <w:p>
      <w:r>
        <w:rPr>
          <w:rFonts w:hint="default"/>
          <w:sz w:val="20"/>
          <w:szCs w:val="20"/>
          <w:lang w:val="en-US" w:eastAsia="zh-CN"/>
        </w:rPr>
        <w:drawing>
          <wp:inline distT="0" distB="0" distL="114300" distR="114300">
            <wp:extent cx="2868295" cy="2257425"/>
            <wp:effectExtent l="0" t="0" r="12065" b="13335"/>
            <wp:docPr id="1" name="图片 1" descr="SEM_SE_ACLR=30d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SEM_SE_ACLR=30dBc"/>
                    <pic:cNvPicPr>
                      <a:picLocks noChangeAspect="1"/>
                    </pic:cNvPicPr>
                  </pic:nvPicPr>
                  <pic:blipFill>
                    <a:blip r:embed="rId12"/>
                    <a:stretch>
                      <a:fillRect/>
                    </a:stretch>
                  </pic:blipFill>
                  <pic:spPr>
                    <a:xfrm>
                      <a:off x="0" y="0"/>
                      <a:ext cx="2868295" cy="2257425"/>
                    </a:xfrm>
                    <a:prstGeom prst="rect">
                      <a:avLst/>
                    </a:prstGeom>
                  </pic:spPr>
                </pic:pic>
              </a:graphicData>
            </a:graphic>
          </wp:inline>
        </w:drawing>
      </w:r>
      <w:r>
        <w:rPr>
          <w:rFonts w:hint="eastAsia"/>
          <w:sz w:val="20"/>
          <w:szCs w:val="20"/>
          <w:lang w:val="en-US" w:eastAsia="zh-CN"/>
        </w:rPr>
        <w:t xml:space="preserve">   </w:t>
      </w:r>
      <w:r>
        <w:rPr>
          <w:rFonts w:hint="default"/>
          <w:sz w:val="20"/>
          <w:szCs w:val="20"/>
          <w:lang w:val="en-US" w:eastAsia="zh-CN"/>
        </w:rPr>
        <w:drawing>
          <wp:inline distT="0" distB="0" distL="114300" distR="114300">
            <wp:extent cx="2894330" cy="2257425"/>
            <wp:effectExtent l="0" t="0" r="1270" b="13335"/>
            <wp:docPr id="4" name="图片 4" descr="SEM_SE_ACLR=28d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SEM_SE_ACLR=28dBc"/>
                    <pic:cNvPicPr>
                      <a:picLocks noChangeAspect="1"/>
                    </pic:cNvPicPr>
                  </pic:nvPicPr>
                  <pic:blipFill>
                    <a:blip r:embed="rId13"/>
                    <a:stretch>
                      <a:fillRect/>
                    </a:stretch>
                  </pic:blipFill>
                  <pic:spPr>
                    <a:xfrm>
                      <a:off x="0" y="0"/>
                      <a:ext cx="2894330" cy="2257425"/>
                    </a:xfrm>
                    <a:prstGeom prst="rect">
                      <a:avLst/>
                    </a:prstGeom>
                  </pic:spPr>
                </pic:pic>
              </a:graphicData>
            </a:graphic>
          </wp:inline>
        </w:drawing>
      </w:r>
    </w:p>
    <w:p>
      <w:pPr>
        <w:ind w:firstLine="803" w:firstLineChars="400"/>
        <w:rPr>
          <w:rFonts w:hint="default" w:eastAsia="宋体"/>
          <w:b/>
          <w:bCs/>
          <w:sz w:val="20"/>
          <w:szCs w:val="20"/>
          <w:lang w:val="en-US" w:eastAsia="zh-CN"/>
        </w:rPr>
      </w:pPr>
      <w:r>
        <w:rPr>
          <w:rFonts w:hint="eastAsia"/>
          <w:b/>
          <w:bCs/>
          <w:sz w:val="20"/>
          <w:szCs w:val="20"/>
          <w:lang w:val="en-US" w:eastAsia="zh-CN"/>
        </w:rPr>
        <w:t>Figure 2.1: PSD for ACLR = 30 dB                    Figure 2.2: PSD for ACLR = 28 dB</w:t>
      </w:r>
    </w:p>
    <w:p>
      <w:pPr>
        <w:rPr>
          <w:rFonts w:hint="eastAsia"/>
          <w:b/>
          <w:bCs/>
          <w:sz w:val="20"/>
          <w:szCs w:val="20"/>
          <w:lang w:val="en-US" w:eastAsia="zh-CN"/>
        </w:rPr>
      </w:pPr>
      <w:r>
        <w:rPr>
          <w:rFonts w:hint="eastAsia"/>
          <w:b/>
          <w:bCs/>
          <w:sz w:val="20"/>
          <w:szCs w:val="20"/>
          <w:lang w:val="en-US" w:eastAsia="zh-CN"/>
        </w:rPr>
        <w:t>Scenario 2: Narrower UE channel BW within wider BS bandwidth</w:t>
      </w:r>
    </w:p>
    <w:p>
      <w:pPr>
        <w:pStyle w:val="50"/>
        <w:jc w:val="both"/>
        <w:rPr>
          <w:rFonts w:hint="eastAsia"/>
          <w:sz w:val="20"/>
          <w:szCs w:val="20"/>
          <w:lang w:val="en-US" w:eastAsia="zh-CN"/>
        </w:rPr>
      </w:pPr>
      <w:r>
        <w:rPr>
          <w:rFonts w:hint="eastAsia"/>
          <w:sz w:val="20"/>
          <w:szCs w:val="20"/>
          <w:lang w:val="en-US" w:eastAsia="zh-CN"/>
        </w:rPr>
        <w:t xml:space="preserve">The key of MPR reduction for Scenario 2 lies in converting outer RB allocation into inner RB allocation and utilizing MPR for inner RB allocation instead of outer RB allocation. The definition of inner RB allocation is meeting </w:t>
      </w:r>
      <w:r>
        <w:rPr>
          <w:sz w:val="20"/>
          <w:szCs w:val="20"/>
        </w:rPr>
        <w:t>RB</w:t>
      </w:r>
      <w:r>
        <w:rPr>
          <w:sz w:val="20"/>
          <w:szCs w:val="20"/>
          <w:vertAlign w:val="subscript"/>
        </w:rPr>
        <w:t xml:space="preserve">Start,Low </w:t>
      </w:r>
      <w:r>
        <w:rPr>
          <w:sz w:val="20"/>
          <w:szCs w:val="20"/>
        </w:rPr>
        <w:t>≤</w:t>
      </w:r>
      <w:r>
        <w:rPr>
          <w:rFonts w:hint="eastAsia"/>
          <w:sz w:val="20"/>
          <w:szCs w:val="20"/>
          <w:lang w:val="en-US" w:eastAsia="zh-CN"/>
        </w:rPr>
        <w:t xml:space="preserve"> </w:t>
      </w:r>
      <w:r>
        <w:rPr>
          <w:sz w:val="20"/>
          <w:szCs w:val="20"/>
        </w:rPr>
        <w:t>RB</w:t>
      </w:r>
      <w:r>
        <w:rPr>
          <w:sz w:val="20"/>
          <w:szCs w:val="20"/>
          <w:vertAlign w:val="subscript"/>
        </w:rPr>
        <w:t xml:space="preserve">Start  </w:t>
      </w:r>
      <w:r>
        <w:rPr>
          <w:sz w:val="20"/>
          <w:szCs w:val="20"/>
        </w:rPr>
        <w:t>≤ RB</w:t>
      </w:r>
      <w:r>
        <w:rPr>
          <w:sz w:val="20"/>
          <w:szCs w:val="20"/>
          <w:vertAlign w:val="subscript"/>
        </w:rPr>
        <w:t>Start,High</w:t>
      </w:r>
      <w:r>
        <w:rPr>
          <w:sz w:val="20"/>
          <w:szCs w:val="20"/>
        </w:rPr>
        <w:t>,</w:t>
      </w:r>
      <w:r>
        <w:rPr>
          <w:sz w:val="20"/>
          <w:szCs w:val="20"/>
          <w:vertAlign w:val="subscript"/>
        </w:rPr>
        <w:t xml:space="preserve"> </w:t>
      </w:r>
      <w:r>
        <w:rPr>
          <w:sz w:val="20"/>
          <w:szCs w:val="20"/>
        </w:rPr>
        <w:t>and</w:t>
      </w:r>
      <w:r>
        <w:rPr>
          <w:rFonts w:hint="eastAsia"/>
          <w:sz w:val="20"/>
          <w:szCs w:val="20"/>
          <w:lang w:val="en-US" w:eastAsia="zh-CN"/>
        </w:rPr>
        <w:t xml:space="preserve"> </w:t>
      </w:r>
      <w:r>
        <w:rPr>
          <w:sz w:val="20"/>
          <w:szCs w:val="20"/>
        </w:rPr>
        <w:t>L</w:t>
      </w:r>
      <w:r>
        <w:rPr>
          <w:sz w:val="20"/>
          <w:szCs w:val="20"/>
          <w:vertAlign w:val="subscript"/>
        </w:rPr>
        <w:t xml:space="preserve">CRB </w:t>
      </w:r>
      <w:r>
        <w:rPr>
          <w:sz w:val="20"/>
          <w:szCs w:val="20"/>
        </w:rPr>
        <w:t>≤ ceil</w:t>
      </w:r>
      <w:r>
        <w:rPr>
          <w:rFonts w:hint="eastAsia"/>
          <w:sz w:val="20"/>
          <w:szCs w:val="20"/>
          <w:lang w:val="en-US" w:eastAsia="zh-CN"/>
        </w:rPr>
        <w:t xml:space="preserve"> </w:t>
      </w:r>
      <w:r>
        <w:rPr>
          <w:sz w:val="20"/>
          <w:szCs w:val="20"/>
        </w:rPr>
        <w:t>(N</w:t>
      </w:r>
      <w:r>
        <w:rPr>
          <w:sz w:val="20"/>
          <w:szCs w:val="20"/>
          <w:vertAlign w:val="subscript"/>
        </w:rPr>
        <w:t>RB</w:t>
      </w:r>
      <w:r>
        <w:rPr>
          <w:sz w:val="20"/>
          <w:szCs w:val="20"/>
        </w:rPr>
        <w:t>/2)</w:t>
      </w:r>
      <w:r>
        <w:rPr>
          <w:rFonts w:hint="eastAsia"/>
          <w:sz w:val="20"/>
          <w:szCs w:val="20"/>
          <w:lang w:val="en-US" w:eastAsia="zh-CN"/>
        </w:rPr>
        <w:t>. Thus, this scenario can be divided into two cases for discussion. Case 1 is the distance between UE CBW and the nearest BS CBW is larger than the half of UE CBW, and case 2 is the distance between UE CBW and the nearest BS CBW is smaller than the 1/2 UE CBW.</w:t>
      </w:r>
    </w:p>
    <w:p>
      <w:pPr>
        <w:rPr>
          <w:rFonts w:hint="eastAsia"/>
          <w:sz w:val="20"/>
          <w:szCs w:val="20"/>
          <w:lang w:val="en-US" w:eastAsia="zh-CN"/>
        </w:rPr>
      </w:pPr>
      <w:r>
        <w:rPr>
          <w:rFonts w:hint="eastAsia"/>
          <w:b/>
          <w:bCs/>
          <w:i/>
          <w:iCs/>
          <w:sz w:val="20"/>
          <w:szCs w:val="20"/>
          <w:lang w:val="en-US" w:eastAsia="zh-CN"/>
        </w:rPr>
        <w:t>Observation 3: Scenario 2 can be divided into two cases for discussion. Case 1 is the distance between UE CBW and the nearest BS CBW is larger than the half of UE CBW, and case 2 is the distance between UE CBW and the nearest BS CBW is smaller than the 1/2 UE CBW.</w:t>
      </w:r>
    </w:p>
    <w:p>
      <w:pPr>
        <w:rPr>
          <w:rFonts w:hint="eastAsia"/>
          <w:sz w:val="20"/>
          <w:szCs w:val="20"/>
          <w:lang w:val="en-US" w:eastAsia="zh-CN"/>
        </w:rPr>
      </w:pPr>
      <w:r>
        <w:rPr>
          <w:rFonts w:hint="eastAsia"/>
          <w:sz w:val="20"/>
          <w:szCs w:val="20"/>
          <w:lang w:val="en-US" w:eastAsia="zh-CN"/>
        </w:rPr>
        <w:t>For case 1, the starting point of ACLR, SEM domain on both sides can be shifted by half of UE CBW, as shown in figure 2.3. Instead of applying ACLR and SEM requirement in the relaxed 10MHz range, IBE requirement can be used.</w:t>
      </w:r>
    </w:p>
    <w:p>
      <w:pPr>
        <w:rPr>
          <w:rFonts w:hint="default"/>
          <w:sz w:val="20"/>
          <w:szCs w:val="20"/>
          <w:lang w:val="en-US" w:eastAsia="zh-CN"/>
        </w:rPr>
      </w:pPr>
      <w:r>
        <w:rPr>
          <w:rFonts w:hint="eastAsia"/>
          <w:b/>
          <w:bCs/>
          <w:i/>
          <w:iCs/>
          <w:sz w:val="20"/>
          <w:szCs w:val="20"/>
          <w:lang w:val="en-US" w:eastAsia="zh-CN"/>
        </w:rPr>
        <w:t>Proposal 4: For case 1, the starting point of ACLR, SEM domain on both sides can be shifted by half of UE CBW. Instead of applying ACLR and SEM requirement in the shifted range, IBE requirement can be used.</w:t>
      </w:r>
    </w:p>
    <w:p>
      <w:pPr>
        <w:jc w:val="center"/>
        <w:rPr>
          <w:rFonts w:hint="eastAsia"/>
          <w:lang w:val="en-US" w:eastAsia="zh-CN"/>
        </w:rPr>
      </w:pPr>
      <w:r>
        <w:rPr>
          <w:rFonts w:hint="eastAsia"/>
          <w:lang w:val="en-US" w:eastAsia="zh-CN"/>
        </w:rPr>
        <w:drawing>
          <wp:inline distT="0" distB="0" distL="114300" distR="114300">
            <wp:extent cx="3882390" cy="945515"/>
            <wp:effectExtent l="0" t="0" r="0" b="14605"/>
            <wp:docPr id="5" name="图片 5" descr="D:\Users\00327441\Desktop\RAN4 meeting\110bis\tdocs\scenario 2.pngscenari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D:\Users\00327441\Desktop\RAN4 meeting\110bis\tdocs\scenario 2.pngscenario 2"/>
                    <pic:cNvPicPr>
                      <a:picLocks noChangeAspect="1"/>
                    </pic:cNvPicPr>
                  </pic:nvPicPr>
                  <pic:blipFill>
                    <a:blip r:embed="rId14"/>
                    <a:srcRect/>
                    <a:stretch>
                      <a:fillRect/>
                    </a:stretch>
                  </pic:blipFill>
                  <pic:spPr>
                    <a:xfrm>
                      <a:off x="0" y="0"/>
                      <a:ext cx="3882390" cy="945515"/>
                    </a:xfrm>
                    <a:prstGeom prst="rect">
                      <a:avLst/>
                    </a:prstGeom>
                  </pic:spPr>
                </pic:pic>
              </a:graphicData>
            </a:graphic>
          </wp:inline>
        </w:drawing>
      </w:r>
    </w:p>
    <w:p>
      <w:pPr>
        <w:jc w:val="center"/>
        <w:rPr>
          <w:rFonts w:hint="eastAsia"/>
          <w:b/>
          <w:bCs/>
          <w:sz w:val="20"/>
          <w:szCs w:val="18"/>
          <w:lang w:val="en-US" w:eastAsia="zh-CN"/>
        </w:rPr>
      </w:pPr>
      <w:r>
        <w:rPr>
          <w:rFonts w:hint="eastAsia"/>
          <w:b/>
          <w:bCs/>
          <w:sz w:val="20"/>
          <w:szCs w:val="18"/>
          <w:lang w:val="en-US" w:eastAsia="zh-CN"/>
        </w:rPr>
        <w:t>Figure 2.3: Case 1 the distance between UE CBW and the nearest BS CBW is larger than the half of UE CBW</w:t>
      </w:r>
    </w:p>
    <w:p>
      <w:pPr>
        <w:rPr>
          <w:rFonts w:hint="default"/>
          <w:sz w:val="20"/>
          <w:szCs w:val="20"/>
          <w:lang w:val="en-US" w:eastAsia="zh-CN"/>
        </w:rPr>
      </w:pPr>
      <w:r>
        <w:rPr>
          <w:rFonts w:hint="eastAsia"/>
          <w:sz w:val="20"/>
          <w:szCs w:val="20"/>
          <w:lang w:val="en-US" w:eastAsia="zh-CN"/>
        </w:rPr>
        <w:t>For case 2, the distance between UE CBW and the nearest BS CBW is smaller than the 1/2 UE CBW and even towards 0, which is the most deployments for RedCap UEs to avoid frequency fragmentation. An example illustrating this scenario is presented in [3] Figure 6, where partial RBs are allocated to UE and are positioned adjacent to the UE channel side, close to the center of the BS channel. However, this example can be excluded from consideration due to the agreement reached in the last meeting, which stipulated that no power domain enhancements based on BWP would be considered.</w:t>
      </w:r>
    </w:p>
    <w:p>
      <w:pPr>
        <w:rPr>
          <w:rFonts w:hint="default"/>
          <w:sz w:val="20"/>
          <w:szCs w:val="20"/>
          <w:lang w:val="en-US" w:eastAsia="zh-CN"/>
        </w:rPr>
      </w:pPr>
      <w:r>
        <w:rPr>
          <w:rFonts w:hint="eastAsia"/>
          <w:sz w:val="20"/>
          <w:szCs w:val="20"/>
          <w:lang w:val="en-US" w:eastAsia="zh-CN"/>
        </w:rPr>
        <w:t>In such case, transitioning MPR from outer RB allocation to inner RB allocation may not be feasible. ACLR requirement is symmetric outside the UE channel bandwidth, and relaxing the ACLR outside the BS channel bandwidth may not be possible due to co-existence concerns. Consequently, it's conceivable that no MPR reduction can be achieved in this case.</w:t>
      </w:r>
    </w:p>
    <w:p>
      <w:pPr>
        <w:rPr>
          <w:rFonts w:hint="default"/>
          <w:b/>
          <w:bCs/>
          <w:i/>
          <w:iCs/>
          <w:sz w:val="20"/>
          <w:szCs w:val="20"/>
          <w:lang w:val="en-US" w:eastAsia="zh-CN"/>
        </w:rPr>
      </w:pPr>
      <w:r>
        <w:rPr>
          <w:rFonts w:hint="eastAsia"/>
          <w:b/>
          <w:bCs/>
          <w:i/>
          <w:iCs/>
          <w:sz w:val="20"/>
          <w:szCs w:val="20"/>
          <w:lang w:val="en-US" w:eastAsia="zh-CN"/>
        </w:rPr>
        <w:t>Proposal 5: In case2, relaxing the ACLR outside the BS channel bandwidth isn</w:t>
      </w:r>
      <w:r>
        <w:rPr>
          <w:rFonts w:hint="default"/>
          <w:b/>
          <w:bCs/>
          <w:i/>
          <w:iCs/>
          <w:sz w:val="20"/>
          <w:szCs w:val="20"/>
          <w:lang w:val="en-US" w:eastAsia="zh-CN"/>
        </w:rPr>
        <w:t>’</w:t>
      </w:r>
      <w:r>
        <w:rPr>
          <w:rFonts w:hint="eastAsia"/>
          <w:b/>
          <w:bCs/>
          <w:i/>
          <w:iCs/>
          <w:sz w:val="20"/>
          <w:szCs w:val="20"/>
          <w:lang w:val="en-US" w:eastAsia="zh-CN"/>
        </w:rPr>
        <w:t>t possible. It's conceivable that no MPR reduction can be achieved in this case.</w:t>
      </w:r>
    </w:p>
    <w:p>
      <w:pPr>
        <w:rPr>
          <w:rFonts w:hint="default"/>
          <w:b/>
          <w:bCs/>
          <w:i/>
          <w:iCs/>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cs="Times New Roman"/>
          <w:b w:val="0"/>
          <w:bCs w:val="0"/>
          <w:kern w:val="0"/>
          <w:sz w:val="20"/>
          <w:szCs w:val="20"/>
          <w:highlight w:val="none"/>
          <w:lang w:val="en-US" w:eastAsia="zh-CN" w:bidi="ar-SA"/>
        </w:rPr>
        <w:t xml:space="preserve"> power domain enhancements for single carrier </w:t>
      </w:r>
      <w:r>
        <w:rPr>
          <w:rFonts w:hint="eastAsia" w:ascii="Times New Roman" w:hAnsi="Times New Roman" w:eastAsia="宋体" w:cs="Times New Roman"/>
          <w:b w:val="0"/>
          <w:bCs w:val="0"/>
          <w:kern w:val="0"/>
          <w:sz w:val="20"/>
          <w:szCs w:val="20"/>
          <w:highlight w:val="none"/>
          <w:lang w:val="en-US" w:eastAsia="zh-CN" w:bidi="ar-SA"/>
        </w:rPr>
        <w:t>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rPr>
          <w:rFonts w:hint="default" w:cs="Times New Roman"/>
          <w:sz w:val="20"/>
          <w:szCs w:val="20"/>
          <w:lang w:val="en-US" w:eastAsia="zh-CN"/>
        </w:rPr>
      </w:pPr>
      <w:r>
        <w:rPr>
          <w:rFonts w:hint="eastAsia"/>
          <w:b/>
          <w:bCs/>
          <w:i/>
          <w:iCs/>
          <w:sz w:val="20"/>
          <w:szCs w:val="20"/>
          <w:lang w:val="en-US" w:eastAsia="zh-CN"/>
        </w:rPr>
        <w:t>Observation 1: The stricter Category B requirements in ITU-SM.329 were selected for the UE in 3GPP to allow for global circulation of terminals. 3GPP and ITU-R share the same applying range of spurious emission requirements.</w:t>
      </w:r>
    </w:p>
    <w:p>
      <w:pPr>
        <w:rPr>
          <w:rFonts w:hint="eastAsia"/>
          <w:b/>
          <w:bCs/>
          <w:i/>
          <w:iCs/>
          <w:sz w:val="20"/>
          <w:szCs w:val="20"/>
          <w:lang w:val="en-US" w:eastAsia="zh-CN"/>
        </w:rPr>
      </w:pPr>
      <w:r>
        <w:rPr>
          <w:rFonts w:hint="eastAsia"/>
          <w:b/>
          <w:bCs/>
          <w:i/>
          <w:iCs/>
          <w:sz w:val="20"/>
          <w:szCs w:val="20"/>
          <w:lang w:val="en-US" w:eastAsia="zh-CN"/>
        </w:rPr>
        <w:t>Proposal 1: For spurious emission requirements, they can</w:t>
      </w:r>
      <w:r>
        <w:rPr>
          <w:rFonts w:hint="default"/>
          <w:b/>
          <w:bCs/>
          <w:i/>
          <w:iCs/>
          <w:sz w:val="20"/>
          <w:szCs w:val="20"/>
          <w:lang w:val="en-US" w:eastAsia="zh-CN"/>
        </w:rPr>
        <w:t>’</w:t>
      </w:r>
      <w:r>
        <w:rPr>
          <w:rFonts w:hint="eastAsia"/>
          <w:b/>
          <w:bCs/>
          <w:i/>
          <w:iCs/>
          <w:sz w:val="20"/>
          <w:szCs w:val="20"/>
          <w:lang w:val="en-US" w:eastAsia="zh-CN"/>
        </w:rPr>
        <w:t>t be relaxed.</w:t>
      </w:r>
    </w:p>
    <w:p>
      <w:pPr>
        <w:rPr>
          <w:rFonts w:hint="default"/>
          <w:sz w:val="20"/>
          <w:szCs w:val="20"/>
          <w:lang w:val="en-US" w:eastAsia="zh-CN"/>
        </w:rPr>
      </w:pPr>
      <w:r>
        <w:rPr>
          <w:rFonts w:hint="eastAsia"/>
          <w:b/>
          <w:bCs/>
          <w:i/>
          <w:iCs/>
          <w:sz w:val="20"/>
          <w:szCs w:val="20"/>
          <w:lang w:val="en-US" w:eastAsia="zh-CN"/>
        </w:rPr>
        <w:t>Proposal 2: We propose that MPR reduction for outer RB allocation is prioritized.</w:t>
      </w:r>
    </w:p>
    <w:p>
      <w:pPr>
        <w:rPr>
          <w:rFonts w:hint="eastAsia"/>
          <w:b/>
          <w:bCs/>
          <w:i/>
          <w:iCs/>
          <w:sz w:val="20"/>
          <w:szCs w:val="20"/>
          <w:lang w:val="en-US" w:eastAsia="zh-CN"/>
        </w:rPr>
      </w:pPr>
      <w:r>
        <w:rPr>
          <w:rFonts w:hint="eastAsia"/>
          <w:b/>
          <w:bCs/>
          <w:i/>
          <w:iCs/>
          <w:sz w:val="20"/>
          <w:szCs w:val="20"/>
          <w:lang w:val="en-US" w:eastAsia="zh-CN"/>
        </w:rPr>
        <w:t>Observation 2: Our simulation results demonstrate that when ACLR is relaxed by 2 dB, MPR reduction can reach up to 0.6 dB for DFT-s-OFDM and 0.8 dB for CP-OFDM with QPSK/16QAM.</w:t>
      </w:r>
    </w:p>
    <w:p>
      <w:pPr>
        <w:rPr>
          <w:rFonts w:hint="eastAsia"/>
          <w:b/>
          <w:bCs/>
          <w:i/>
          <w:iCs/>
          <w:sz w:val="20"/>
          <w:szCs w:val="20"/>
          <w:lang w:val="en-US" w:eastAsia="zh-CN"/>
        </w:rPr>
      </w:pPr>
      <w:r>
        <w:rPr>
          <w:rFonts w:hint="eastAsia"/>
          <w:b/>
          <w:bCs/>
          <w:i/>
          <w:iCs/>
          <w:sz w:val="20"/>
          <w:szCs w:val="20"/>
          <w:lang w:val="en-US" w:eastAsia="zh-CN"/>
        </w:rPr>
        <w:t>Proposal 3: Further relaxation of SEM will not result in additional MPR reduction when relaxing ACLR, and there is no need to relax ACLR with SEM.</w:t>
      </w:r>
    </w:p>
    <w:p>
      <w:pPr>
        <w:rPr>
          <w:rFonts w:hint="eastAsia"/>
          <w:sz w:val="20"/>
          <w:szCs w:val="20"/>
          <w:lang w:val="en-US" w:eastAsia="zh-CN"/>
        </w:rPr>
      </w:pPr>
      <w:r>
        <w:rPr>
          <w:rFonts w:hint="eastAsia"/>
          <w:b/>
          <w:bCs/>
          <w:i/>
          <w:iCs/>
          <w:sz w:val="20"/>
          <w:szCs w:val="20"/>
          <w:lang w:val="en-US" w:eastAsia="zh-CN"/>
        </w:rPr>
        <w:t>Observation 3: Scenario 2 can be divided into two cases for discussion. Case 1 is the distance between UE CBW and the nearest BS CBW is larger than the half of UE CBW, and case 2 is the distance between UE CBW and the nearest BS CBW is smaller than the 1/2 UE CBW.</w:t>
      </w:r>
    </w:p>
    <w:p>
      <w:pPr>
        <w:rPr>
          <w:rFonts w:hint="default"/>
          <w:sz w:val="20"/>
          <w:szCs w:val="20"/>
          <w:lang w:val="en-US" w:eastAsia="zh-CN"/>
        </w:rPr>
      </w:pPr>
      <w:r>
        <w:rPr>
          <w:rFonts w:hint="eastAsia"/>
          <w:b/>
          <w:bCs/>
          <w:i/>
          <w:iCs/>
          <w:sz w:val="20"/>
          <w:szCs w:val="20"/>
          <w:lang w:val="en-US" w:eastAsia="zh-CN"/>
        </w:rPr>
        <w:t>Proposal 4: For case 1, the starting point of ACLR, SEM domain on both sides can be shifted by half of UE CBW. Instead of applying ACLR and SEM requirement in the shifted range, IBE requirement can be used.</w:t>
      </w:r>
    </w:p>
    <w:p>
      <w:pPr>
        <w:rPr>
          <w:rFonts w:hint="default"/>
          <w:b/>
          <w:bCs/>
          <w:i/>
          <w:iCs/>
          <w:sz w:val="20"/>
          <w:szCs w:val="20"/>
          <w:lang w:val="en-US" w:eastAsia="zh-CN"/>
        </w:rPr>
      </w:pPr>
      <w:r>
        <w:rPr>
          <w:rFonts w:hint="eastAsia"/>
          <w:b/>
          <w:bCs/>
          <w:i/>
          <w:iCs/>
          <w:sz w:val="20"/>
          <w:szCs w:val="20"/>
          <w:lang w:val="en-US" w:eastAsia="zh-CN"/>
        </w:rPr>
        <w:t>Proposal 5: In case2, relaxing the ACLR outside the BS channel bandwidth isn</w:t>
      </w:r>
      <w:r>
        <w:rPr>
          <w:rFonts w:hint="default"/>
          <w:b/>
          <w:bCs/>
          <w:i/>
          <w:iCs/>
          <w:sz w:val="20"/>
          <w:szCs w:val="20"/>
          <w:lang w:val="en-US" w:eastAsia="zh-CN"/>
        </w:rPr>
        <w:t>’</w:t>
      </w:r>
      <w:r>
        <w:rPr>
          <w:rFonts w:hint="eastAsia"/>
          <w:b/>
          <w:bCs/>
          <w:i/>
          <w:iCs/>
          <w:sz w:val="20"/>
          <w:szCs w:val="20"/>
          <w:lang w:val="en-US" w:eastAsia="zh-CN"/>
        </w:rPr>
        <w:t>t possible. It's conceivable that no MPR reduction can be achieved in this case.</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1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sz w:val="20"/>
          <w:szCs w:val="20"/>
          <w:lang w:val="en-US" w:eastAsia="zh-CN"/>
        </w:rPr>
      </w:pPr>
      <w:r>
        <w:rPr>
          <w:rFonts w:hint="eastAsia"/>
          <w:sz w:val="20"/>
          <w:szCs w:val="20"/>
          <w:lang w:val="en-US" w:eastAsia="zh-CN"/>
        </w:rPr>
        <w:t>RP-230828, New WID: UE RF enhancements for NR FR1/FR2 and EN-DC, Phase 4, Huawei</w:t>
      </w:r>
    </w:p>
    <w:p>
      <w:pPr>
        <w:keepNext/>
        <w:keepLines/>
        <w:pageBreakBefore w:val="0"/>
        <w:widowControl/>
        <w:numPr>
          <w:ilvl w:val="0"/>
          <w:numId w:val="1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sz w:val="20"/>
          <w:szCs w:val="20"/>
          <w:lang w:val="en-US" w:eastAsia="zh-CN"/>
        </w:rPr>
      </w:pPr>
      <w:r>
        <w:rPr>
          <w:rFonts w:hint="default"/>
          <w:color w:val="auto"/>
          <w:sz w:val="20"/>
          <w:szCs w:val="20"/>
          <w:lang w:val="en-US" w:eastAsia="zh-CN"/>
        </w:rPr>
        <w:t>R4-2406584</w:t>
      </w:r>
      <w:r>
        <w:rPr>
          <w:rFonts w:hint="eastAsia"/>
          <w:color w:val="auto"/>
          <w:sz w:val="20"/>
          <w:szCs w:val="20"/>
          <w:lang w:val="en-US" w:eastAsia="zh-CN"/>
        </w:rPr>
        <w:t xml:space="preserve">, </w:t>
      </w:r>
      <w:r>
        <w:rPr>
          <w:rFonts w:hint="default"/>
          <w:color w:val="auto"/>
          <w:sz w:val="20"/>
          <w:szCs w:val="20"/>
          <w:lang w:val="en-US" w:eastAsia="zh-CN"/>
        </w:rPr>
        <w:t>WF on power domain enhancement</w:t>
      </w:r>
      <w:r>
        <w:rPr>
          <w:rFonts w:hint="eastAsia"/>
          <w:sz w:val="20"/>
          <w:szCs w:val="20"/>
          <w:lang w:val="en-US" w:eastAsia="zh-CN"/>
        </w:rPr>
        <w:t>, Huawei</w:t>
      </w:r>
    </w:p>
    <w:p>
      <w:pPr>
        <w:keepNext/>
        <w:keepLines/>
        <w:pageBreakBefore w:val="0"/>
        <w:widowControl/>
        <w:numPr>
          <w:ilvl w:val="0"/>
          <w:numId w:val="1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sz w:val="20"/>
          <w:szCs w:val="20"/>
          <w:lang w:val="en-US" w:eastAsia="zh-CN"/>
        </w:rPr>
      </w:pPr>
      <w:r>
        <w:rPr>
          <w:rFonts w:hint="default"/>
          <w:color w:val="auto"/>
          <w:sz w:val="20"/>
          <w:szCs w:val="20"/>
          <w:lang w:val="en-US" w:eastAsia="zh-CN"/>
        </w:rPr>
        <w:t>R4-2405619</w:t>
      </w:r>
      <w:r>
        <w:rPr>
          <w:rFonts w:hint="eastAsia"/>
          <w:color w:val="auto"/>
          <w:sz w:val="20"/>
          <w:szCs w:val="20"/>
          <w:lang w:val="en-US" w:eastAsia="zh-CN"/>
        </w:rPr>
        <w:t>, Discussion on power domain enhancement for NR single carrier, MediaTek Inc.</w:t>
      </w:r>
    </w:p>
    <w:p>
      <w:pPr>
        <w:keepNext/>
        <w:keepLines/>
        <w:pageBreakBefore w:val="0"/>
        <w:widowControl/>
        <w:numPr>
          <w:ilvl w:val="-1"/>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rFonts w:hint="eastAsia"/>
          <w:b/>
          <w:kern w:val="0"/>
          <w:sz w:val="28"/>
          <w:szCs w:val="28"/>
          <w:highlight w:val="none"/>
          <w:lang w:val="en-US" w:eastAsia="zh-CN"/>
        </w:rPr>
      </w:pPr>
      <w:r>
        <w:rPr>
          <w:rFonts w:hint="eastAsia"/>
          <w:b/>
          <w:kern w:val="0"/>
          <w:sz w:val="28"/>
          <w:szCs w:val="28"/>
          <w:highlight w:val="none"/>
          <w:lang w:val="en-US" w:eastAsia="zh-CN"/>
        </w:rPr>
        <w:t>5 Annex</w:t>
      </w: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eastAsia"/>
          <w:b/>
          <w:bCs/>
          <w:sz w:val="20"/>
          <w:szCs w:val="18"/>
          <w:lang w:val="en-US" w:eastAsia="zh-CN"/>
        </w:rPr>
      </w:pPr>
      <w:r>
        <w:rPr>
          <w:rFonts w:hint="eastAsia"/>
          <w:b/>
          <w:bCs/>
          <w:sz w:val="20"/>
          <w:szCs w:val="18"/>
          <w:lang w:val="en-US" w:eastAsia="zh-CN"/>
        </w:rPr>
        <w:t>Table 5.1: MPR with ACLR relaxation for DFT-s-OFDM</w:t>
      </w: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default"/>
          <w:b/>
          <w:bCs/>
          <w:sz w:val="20"/>
          <w:szCs w:val="18"/>
          <w:lang w:val="en-US" w:eastAsia="zh-CN"/>
        </w:rPr>
      </w:pPr>
    </w:p>
    <w:tbl>
      <w:tblPr>
        <w:tblStyle w:val="23"/>
        <w:tblW w:w="512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5"/>
        <w:gridCol w:w="1163"/>
        <w:gridCol w:w="809"/>
        <w:gridCol w:w="791"/>
        <w:gridCol w:w="895"/>
        <w:gridCol w:w="862"/>
        <w:gridCol w:w="676"/>
        <w:gridCol w:w="1063"/>
        <w:gridCol w:w="775"/>
        <w:gridCol w:w="973"/>
        <w:gridCol w:w="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shd w:val="clear" w:color="auto" w:fill="DCE6F1"/>
            <w:noWrap/>
            <w:vAlign w:val="center"/>
          </w:tcPr>
          <w:p>
            <w:pPr>
              <w:jc w:val="center"/>
              <w:rPr>
                <w:rFonts w:hint="default" w:ascii="Calibri" w:hAnsi="Calibri" w:eastAsia="Times New Roman"/>
                <w:b/>
                <w:color w:val="0000FF"/>
                <w:sz w:val="16"/>
                <w:szCs w:val="16"/>
                <w:lang w:val="en-US" w:eastAsia="zh-CN"/>
              </w:rPr>
            </w:pPr>
            <w:r>
              <w:rPr>
                <w:rFonts w:hint="eastAsia" w:ascii="Calibri" w:hAnsi="Calibri" w:eastAsia="Times New Roman"/>
                <w:b/>
                <w:color w:val="0000FF"/>
                <w:sz w:val="16"/>
                <w:szCs w:val="16"/>
                <w:lang w:val="en-US" w:eastAsia="zh-CN"/>
              </w:rPr>
              <w:t>DFT-s-OFDM</w:t>
            </w:r>
          </w:p>
        </w:tc>
        <w:tc>
          <w:tcPr>
            <w:tcW w:w="1364" w:type="pct"/>
            <w:gridSpan w:val="3"/>
            <w:shd w:val="clear" w:color="000000" w:fill="DCE6F1"/>
            <w:noWrap/>
            <w:vAlign w:val="center"/>
          </w:tcPr>
          <w:p>
            <w:pPr>
              <w:jc w:val="center"/>
              <w:rPr>
                <w:rFonts w:ascii="Calibri" w:hAnsi="Calibri" w:eastAsia="Times New Roman"/>
                <w:b/>
                <w:color w:val="0000FF"/>
                <w:sz w:val="16"/>
                <w:szCs w:val="16"/>
                <w:lang w:val="en-US" w:eastAsia="zh-CN"/>
              </w:rPr>
            </w:pPr>
          </w:p>
        </w:tc>
        <w:tc>
          <w:tcPr>
            <w:tcW w:w="1200" w:type="pct"/>
            <w:gridSpan w:val="3"/>
            <w:shd w:val="clear" w:color="000000" w:fill="DCE6F1"/>
            <w:noWrap/>
            <w:vAlign w:val="center"/>
          </w:tcPr>
          <w:p>
            <w:pPr>
              <w:jc w:val="center"/>
              <w:rPr>
                <w:rFonts w:hint="eastAsia" w:ascii="Calibri" w:hAnsi="Calibri" w:eastAsia="Times New Roman"/>
                <w:b/>
                <w:color w:val="C0504D"/>
                <w:sz w:val="16"/>
                <w:szCs w:val="16"/>
                <w:lang w:val="en-US" w:eastAsia="zh-CN"/>
              </w:rPr>
            </w:pPr>
            <w:r>
              <w:rPr>
                <w:rFonts w:hint="eastAsia" w:ascii="Calibri" w:hAnsi="Calibri" w:eastAsia="Times New Roman"/>
                <w:b/>
                <w:color w:val="C0504D"/>
                <w:sz w:val="16"/>
                <w:szCs w:val="16"/>
                <w:lang w:val="en-US" w:eastAsia="zh-CN"/>
              </w:rPr>
              <w:t>ACLR = 30dB (default)</w:t>
            </w:r>
          </w:p>
        </w:tc>
        <w:tc>
          <w:tcPr>
            <w:tcW w:w="907" w:type="pct"/>
            <w:gridSpan w:val="2"/>
            <w:shd w:val="clear" w:color="000000" w:fill="DCE6F1"/>
            <w:noWrap/>
            <w:vAlign w:val="center"/>
          </w:tcPr>
          <w:p>
            <w:pPr>
              <w:jc w:val="center"/>
              <w:rPr>
                <w:rFonts w:hint="eastAsia" w:ascii="Calibri" w:hAnsi="Calibri" w:eastAsia="Times New Roman"/>
                <w:b/>
                <w:color w:val="8064A2" w:themeColor="accent4"/>
                <w:sz w:val="16"/>
                <w:szCs w:val="16"/>
                <w:lang w:val="en-US" w:eastAsia="zh-CN"/>
                <w14:textFill>
                  <w14:solidFill>
                    <w14:schemeClr w14:val="accent4"/>
                  </w14:solidFill>
                </w14:textFill>
              </w:rPr>
            </w:pPr>
            <w:r>
              <w:rPr>
                <w:rFonts w:hint="eastAsia" w:ascii="Calibri" w:hAnsi="Calibri" w:eastAsia="Times New Roman"/>
                <w:b/>
                <w:color w:val="8064A2" w:themeColor="accent4"/>
                <w:sz w:val="16"/>
                <w:szCs w:val="16"/>
                <w:lang w:val="en-US" w:eastAsia="zh-CN"/>
                <w14:textFill>
                  <w14:solidFill>
                    <w14:schemeClr w14:val="accent4"/>
                  </w14:solidFill>
                </w14:textFill>
              </w:rPr>
              <w:t>ACLR = 29dB</w:t>
            </w:r>
          </w:p>
        </w:tc>
        <w:tc>
          <w:tcPr>
            <w:tcW w:w="902" w:type="pct"/>
            <w:gridSpan w:val="2"/>
            <w:shd w:val="clear" w:color="000000" w:fill="DCE6F1"/>
            <w:noWrap/>
            <w:vAlign w:val="center"/>
          </w:tcPr>
          <w:p>
            <w:pPr>
              <w:jc w:val="center"/>
              <w:rPr>
                <w:rFonts w:hint="default" w:ascii="Calibri" w:hAnsi="Calibri" w:eastAsia="Times New Roman"/>
                <w:b/>
                <w:color w:val="00B050"/>
                <w:sz w:val="16"/>
                <w:szCs w:val="16"/>
                <w:lang w:val="en-US" w:eastAsia="zh-CN"/>
              </w:rPr>
            </w:pPr>
            <w:r>
              <w:rPr>
                <w:rFonts w:hint="eastAsia" w:ascii="Calibri" w:hAnsi="Calibri" w:eastAsia="Times New Roman"/>
                <w:b/>
                <w:color w:val="00B050"/>
                <w:sz w:val="16"/>
                <w:szCs w:val="16"/>
                <w:lang w:val="en-US" w:eastAsia="zh-CN"/>
              </w:rPr>
              <w:t>ACLR = 28dB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shd w:val="clear" w:color="auto" w:fill="DCE6F1"/>
            <w:noWrap/>
            <w:vAlign w:val="center"/>
          </w:tcPr>
          <w:p>
            <w:pPr>
              <w:jc w:val="center"/>
              <w:rPr>
                <w:rFonts w:ascii="Calibri" w:hAnsi="Calibri" w:eastAsia="Times New Roman" w:cs="Times New Roman"/>
                <w:b/>
                <w:color w:val="0000FF"/>
                <w:sz w:val="16"/>
                <w:szCs w:val="16"/>
                <w:lang w:val="en-US" w:eastAsia="zh-CN" w:bidi="ar-SA"/>
              </w:rPr>
            </w:pPr>
            <w:r>
              <w:rPr>
                <w:rFonts w:ascii="Calibri" w:hAnsi="Calibri" w:eastAsia="Times New Roman"/>
                <w:b/>
                <w:color w:val="0000FF"/>
                <w:sz w:val="16"/>
                <w:szCs w:val="16"/>
                <w:lang w:val="en-US" w:eastAsia="zh-CN"/>
              </w:rPr>
              <w:t>Modulation</w:t>
            </w:r>
          </w:p>
        </w:tc>
        <w:tc>
          <w:tcPr>
            <w:tcW w:w="574" w:type="pct"/>
            <w:shd w:val="clear" w:color="000000" w:fill="DCE6F1"/>
            <w:noWrap/>
            <w:vAlign w:val="center"/>
          </w:tcPr>
          <w:p>
            <w:pPr>
              <w:jc w:val="center"/>
              <w:rPr>
                <w:rFonts w:ascii="Calibri" w:hAnsi="Calibri" w:eastAsia="Times New Roman" w:cs="Times New Roman"/>
                <w:b/>
                <w:color w:val="0000FF"/>
                <w:sz w:val="16"/>
                <w:szCs w:val="16"/>
                <w:lang w:val="en-US" w:eastAsia="zh-CN" w:bidi="ar-SA"/>
              </w:rPr>
            </w:pPr>
            <w:r>
              <w:rPr>
                <w:rFonts w:ascii="Calibri" w:hAnsi="Calibri" w:eastAsia="Times New Roman"/>
                <w:b/>
                <w:color w:val="0000FF"/>
                <w:sz w:val="16"/>
                <w:szCs w:val="16"/>
                <w:lang w:val="en-US" w:eastAsia="zh-CN"/>
              </w:rPr>
              <w:t>[RB start, RB Num]</w:t>
            </w:r>
          </w:p>
        </w:tc>
        <w:tc>
          <w:tcPr>
            <w:tcW w:w="399" w:type="pct"/>
            <w:shd w:val="clear" w:color="000000" w:fill="DCE6F1"/>
            <w:noWrap/>
            <w:vAlign w:val="center"/>
          </w:tcPr>
          <w:p>
            <w:pPr>
              <w:jc w:val="center"/>
              <w:rPr>
                <w:rFonts w:ascii="Calibri" w:hAnsi="Calibri" w:eastAsia="Times New Roman" w:cs="Times New Roman"/>
                <w:b/>
                <w:color w:val="0000FF"/>
                <w:sz w:val="16"/>
                <w:szCs w:val="16"/>
                <w:lang w:val="en-US" w:eastAsia="zh-CN" w:bidi="ar-SA"/>
              </w:rPr>
            </w:pPr>
            <w:r>
              <w:rPr>
                <w:rFonts w:ascii="Calibri" w:hAnsi="Calibri" w:eastAsia="Times New Roman"/>
                <w:b/>
                <w:color w:val="0000FF"/>
                <w:sz w:val="16"/>
                <w:szCs w:val="16"/>
                <w:lang w:val="en-US" w:eastAsia="zh-CN"/>
              </w:rPr>
              <w:t>SCS [KHz]</w:t>
            </w:r>
          </w:p>
        </w:tc>
        <w:tc>
          <w:tcPr>
            <w:tcW w:w="390" w:type="pct"/>
            <w:shd w:val="clear" w:color="000000" w:fill="DCE6F1"/>
            <w:noWrap/>
            <w:vAlign w:val="center"/>
          </w:tcPr>
          <w:p>
            <w:pPr>
              <w:jc w:val="center"/>
              <w:rPr>
                <w:rFonts w:ascii="Calibri" w:hAnsi="Calibri" w:eastAsia="Times New Roman" w:cs="Times New Roman"/>
                <w:b/>
                <w:color w:val="0000FF"/>
                <w:sz w:val="16"/>
                <w:szCs w:val="16"/>
                <w:lang w:val="en-US" w:eastAsia="zh-CN" w:bidi="ar-SA"/>
              </w:rPr>
            </w:pPr>
            <w:r>
              <w:rPr>
                <w:rFonts w:ascii="Calibri" w:hAnsi="Calibri" w:eastAsia="Times New Roman"/>
                <w:b/>
                <w:color w:val="0000FF"/>
                <w:sz w:val="16"/>
                <w:szCs w:val="16"/>
                <w:lang w:val="en-US" w:eastAsia="zh-CN"/>
              </w:rPr>
              <w:t>BW [MHz]</w:t>
            </w:r>
          </w:p>
        </w:tc>
        <w:tc>
          <w:tcPr>
            <w:tcW w:w="441" w:type="pct"/>
            <w:shd w:val="clear" w:color="000000" w:fill="DCE6F1"/>
            <w:noWrap/>
            <w:vAlign w:val="center"/>
          </w:tcPr>
          <w:p>
            <w:pPr>
              <w:jc w:val="center"/>
              <w:rPr>
                <w:rFonts w:ascii="Calibri" w:hAnsi="Calibri" w:eastAsia="Times New Roman" w:cs="Times New Roman"/>
                <w:b/>
                <w:color w:val="C0504D" w:themeColor="accent2"/>
                <w:sz w:val="16"/>
                <w:szCs w:val="16"/>
                <w:lang w:val="en-US" w:eastAsia="zh-CN" w:bidi="ar-SA"/>
                <w14:textFill>
                  <w14:solidFill>
                    <w14:schemeClr w14:val="accent2"/>
                  </w14:solidFill>
                </w14:textFill>
              </w:rPr>
            </w:pPr>
            <w:r>
              <w:rPr>
                <w:rFonts w:ascii="Calibri" w:hAnsi="Calibri" w:eastAsia="Times New Roman"/>
                <w:b/>
                <w:color w:val="C0504D" w:themeColor="accent2"/>
                <w:sz w:val="16"/>
                <w:szCs w:val="16"/>
                <w:lang w:val="en-US" w:eastAsia="zh-CN"/>
                <w14:textFill>
                  <w14:solidFill>
                    <w14:schemeClr w14:val="accent2"/>
                  </w14:solidFill>
                </w14:textFill>
              </w:rPr>
              <w:t>Limiting factor</w:t>
            </w:r>
          </w:p>
        </w:tc>
        <w:tc>
          <w:tcPr>
            <w:tcW w:w="425" w:type="pct"/>
            <w:shd w:val="clear" w:color="000000" w:fill="DCE6F1"/>
            <w:noWrap/>
            <w:vAlign w:val="center"/>
          </w:tcPr>
          <w:p>
            <w:pPr>
              <w:jc w:val="center"/>
              <w:rPr>
                <w:rFonts w:ascii="Calibri" w:hAnsi="Calibri" w:eastAsia="Times New Roman" w:cs="Times New Roman"/>
                <w:b/>
                <w:color w:val="auto"/>
                <w:sz w:val="16"/>
                <w:szCs w:val="16"/>
                <w:lang w:val="en-US" w:eastAsia="zh-CN" w:bidi="ar-SA"/>
              </w:rPr>
            </w:pPr>
            <w:r>
              <w:rPr>
                <w:rFonts w:ascii="Calibri" w:hAnsi="Calibri" w:eastAsia="Times New Roman"/>
                <w:b/>
                <w:color w:val="C0504D"/>
                <w:sz w:val="16"/>
                <w:szCs w:val="16"/>
                <w:lang w:val="en-US" w:eastAsia="zh-CN"/>
              </w:rPr>
              <w:t>MPR [dB]</w:t>
            </w:r>
          </w:p>
        </w:tc>
        <w:tc>
          <w:tcPr>
            <w:tcW w:w="333" w:type="pct"/>
            <w:shd w:val="clear" w:color="000000" w:fill="DCE6F1"/>
            <w:noWrap/>
            <w:vAlign w:val="center"/>
          </w:tcPr>
          <w:p>
            <w:pPr>
              <w:jc w:val="center"/>
              <w:rPr>
                <w:rFonts w:hint="default" w:ascii="Calibri" w:hAnsi="Calibri" w:eastAsia="Times New Roman"/>
                <w:b/>
                <w:color w:val="C0504D"/>
                <w:sz w:val="16"/>
                <w:szCs w:val="16"/>
                <w:lang w:val="en-US" w:eastAsia="zh-CN"/>
              </w:rPr>
            </w:pPr>
            <w:r>
              <w:rPr>
                <w:rFonts w:hint="eastAsia" w:ascii="Calibri" w:hAnsi="Calibri" w:eastAsia="Times New Roman"/>
                <w:b/>
                <w:color w:val="C0504D"/>
                <w:sz w:val="16"/>
                <w:szCs w:val="16"/>
                <w:lang w:val="en-US" w:eastAsia="zh-CN"/>
              </w:rPr>
              <w:t>spec</w:t>
            </w:r>
          </w:p>
        </w:tc>
        <w:tc>
          <w:tcPr>
            <w:tcW w:w="524" w:type="pct"/>
            <w:shd w:val="clear" w:color="000000" w:fill="DCE6F1"/>
            <w:noWrap/>
            <w:vAlign w:val="center"/>
          </w:tcPr>
          <w:p>
            <w:pPr>
              <w:jc w:val="center"/>
              <w:rPr>
                <w:rFonts w:hint="eastAsia" w:ascii="Calibri" w:hAnsi="Calibri" w:eastAsia="Times New Roman" w:cs="Times New Roman"/>
                <w:b/>
                <w:color w:val="8064A2" w:themeColor="accent4"/>
                <w:kern w:val="2"/>
                <w:sz w:val="16"/>
                <w:szCs w:val="16"/>
                <w:lang w:val="en-US" w:eastAsia="zh-CN" w:bidi="ar-SA"/>
                <w14:textFill>
                  <w14:solidFill>
                    <w14:schemeClr w14:val="accent4"/>
                  </w14:solidFill>
                </w14:textFill>
              </w:rPr>
            </w:pPr>
            <w:r>
              <w:rPr>
                <w:rFonts w:ascii="Calibri" w:hAnsi="Calibri" w:eastAsia="Times New Roman"/>
                <w:b/>
                <w:color w:val="8064A2" w:themeColor="accent4"/>
                <w:sz w:val="16"/>
                <w:szCs w:val="16"/>
                <w:lang w:val="en-US" w:eastAsia="zh-CN"/>
                <w14:textFill>
                  <w14:solidFill>
                    <w14:schemeClr w14:val="accent4"/>
                  </w14:solidFill>
                </w14:textFill>
              </w:rPr>
              <w:t>Limiting factor</w:t>
            </w:r>
          </w:p>
        </w:tc>
        <w:tc>
          <w:tcPr>
            <w:tcW w:w="382" w:type="pct"/>
            <w:shd w:val="clear" w:color="000000" w:fill="DCE6F1"/>
            <w:noWrap/>
            <w:vAlign w:val="center"/>
          </w:tcPr>
          <w:p>
            <w:pPr>
              <w:jc w:val="center"/>
              <w:rPr>
                <w:rFonts w:hint="eastAsia" w:ascii="Calibri" w:hAnsi="Calibri" w:eastAsia="Times New Roman" w:cs="Times New Roman"/>
                <w:b/>
                <w:color w:val="8064A2" w:themeColor="accent4"/>
                <w:kern w:val="2"/>
                <w:sz w:val="16"/>
                <w:szCs w:val="16"/>
                <w:lang w:val="en-US" w:eastAsia="zh-CN" w:bidi="ar-SA"/>
                <w14:textFill>
                  <w14:solidFill>
                    <w14:schemeClr w14:val="accent4"/>
                  </w14:solidFill>
                </w14:textFill>
              </w:rPr>
            </w:pPr>
            <w:r>
              <w:rPr>
                <w:rFonts w:ascii="Calibri" w:hAnsi="Calibri" w:eastAsia="Times New Roman"/>
                <w:b/>
                <w:color w:val="8064A2" w:themeColor="accent4"/>
                <w:sz w:val="16"/>
                <w:szCs w:val="16"/>
                <w:lang w:val="en-US" w:eastAsia="zh-CN"/>
                <w14:textFill>
                  <w14:solidFill>
                    <w14:schemeClr w14:val="accent4"/>
                  </w14:solidFill>
                </w14:textFill>
              </w:rPr>
              <w:t>MPR [dB]</w:t>
            </w:r>
          </w:p>
        </w:tc>
        <w:tc>
          <w:tcPr>
            <w:tcW w:w="480" w:type="pct"/>
            <w:shd w:val="clear" w:color="000000" w:fill="DCE6F1"/>
            <w:noWrap/>
            <w:vAlign w:val="center"/>
          </w:tcPr>
          <w:p>
            <w:pPr>
              <w:jc w:val="center"/>
              <w:rPr>
                <w:rFonts w:hint="eastAsia" w:ascii="Calibri" w:hAnsi="Calibri" w:eastAsia="Times New Roman" w:cs="Times New Roman"/>
                <w:b/>
                <w:color w:val="00B050"/>
                <w:kern w:val="2"/>
                <w:sz w:val="16"/>
                <w:szCs w:val="16"/>
                <w:lang w:val="en-US" w:eastAsia="zh-CN" w:bidi="ar-SA"/>
              </w:rPr>
            </w:pPr>
            <w:r>
              <w:rPr>
                <w:rFonts w:ascii="Calibri" w:hAnsi="Calibri" w:eastAsia="Times New Roman"/>
                <w:b/>
                <w:color w:val="00B050"/>
                <w:sz w:val="16"/>
                <w:szCs w:val="16"/>
                <w:lang w:val="en-US" w:eastAsia="zh-CN"/>
              </w:rPr>
              <w:t>Limiting factor</w:t>
            </w:r>
          </w:p>
        </w:tc>
        <w:tc>
          <w:tcPr>
            <w:tcW w:w="421" w:type="pct"/>
            <w:shd w:val="clear" w:color="000000" w:fill="DCE6F1"/>
            <w:noWrap/>
            <w:vAlign w:val="center"/>
          </w:tcPr>
          <w:p>
            <w:pPr>
              <w:jc w:val="center"/>
              <w:rPr>
                <w:rFonts w:hint="eastAsia" w:ascii="Calibri" w:hAnsi="Calibri" w:eastAsia="Times New Roman" w:cs="Times New Roman"/>
                <w:b/>
                <w:color w:val="00B050"/>
                <w:kern w:val="2"/>
                <w:sz w:val="16"/>
                <w:szCs w:val="16"/>
                <w:lang w:val="en-US" w:eastAsia="zh-CN" w:bidi="ar-SA"/>
              </w:rPr>
            </w:pPr>
            <w:r>
              <w:rPr>
                <w:rFonts w:ascii="Calibri" w:hAnsi="Calibri" w:eastAsia="Times New Roman"/>
                <w:b/>
                <w:color w:val="00B050"/>
                <w:sz w:val="16"/>
                <w:szCs w:val="16"/>
                <w:lang w:val="en-US" w:eastAsia="zh-CN"/>
              </w:rPr>
              <w:t>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24" w:type="pct"/>
            <w:vMerge w:val="restart"/>
            <w:shd w:val="clear" w:color="auto"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QPSK</w:t>
            </w:r>
          </w:p>
        </w:tc>
        <w:tc>
          <w:tcPr>
            <w:tcW w:w="574"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[0,25]</w:t>
            </w:r>
          </w:p>
        </w:tc>
        <w:tc>
          <w:tcPr>
            <w:tcW w:w="399"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15</w:t>
            </w:r>
          </w:p>
        </w:tc>
        <w:tc>
          <w:tcPr>
            <w:tcW w:w="390"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5</w:t>
            </w:r>
          </w:p>
        </w:tc>
        <w:tc>
          <w:tcPr>
            <w:tcW w:w="441" w:type="pct"/>
            <w:shd w:val="clear" w:color="000000" w:fill="auto"/>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ACLR</w:t>
            </w:r>
          </w:p>
        </w:tc>
        <w:tc>
          <w:tcPr>
            <w:tcW w:w="425"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1</w:t>
            </w:r>
          </w:p>
        </w:tc>
        <w:tc>
          <w:tcPr>
            <w:tcW w:w="333" w:type="pct"/>
            <w:vMerge w:val="restart"/>
            <w:shd w:val="clear" w:color="000000" w:fill="auto"/>
            <w:noWrap/>
            <w:vAlign w:val="center"/>
          </w:tcPr>
          <w:p>
            <w:pPr>
              <w:jc w:val="center"/>
              <w:rPr>
                <w:rFonts w:hint="default" w:ascii="Calibri" w:hAnsi="Calibri" w:eastAsia="Times New Roman" w:cs="Times New Roman"/>
                <w:color w:val="auto"/>
                <w:kern w:val="2"/>
                <w:sz w:val="16"/>
                <w:szCs w:val="16"/>
                <w:lang w:val="en-US" w:eastAsia="zh-CN" w:bidi="ar-SA"/>
              </w:rPr>
            </w:pPr>
            <w:r>
              <w:rPr>
                <w:rFonts w:hint="eastAsia" w:ascii="Calibri" w:hAnsi="Calibri" w:eastAsia="Times New Roman"/>
                <w:color w:val="auto"/>
                <w:sz w:val="16"/>
                <w:szCs w:val="16"/>
                <w:lang w:val="en-US" w:eastAsia="zh-CN"/>
              </w:rPr>
              <w:t>1</w:t>
            </w:r>
          </w:p>
          <w:p>
            <w:pPr>
              <w:jc w:val="center"/>
              <w:rPr>
                <w:rFonts w:hint="default" w:ascii="Calibri" w:hAnsi="Calibri" w:eastAsia="Times New Roman"/>
                <w:color w:val="auto"/>
                <w:sz w:val="16"/>
                <w:szCs w:val="16"/>
                <w:lang w:val="en-US" w:eastAsia="zh-CN"/>
              </w:rPr>
            </w:pPr>
          </w:p>
        </w:tc>
        <w:tc>
          <w:tcPr>
            <w:tcW w:w="524"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82"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0.63</w:t>
            </w:r>
          </w:p>
        </w:tc>
        <w:tc>
          <w:tcPr>
            <w:tcW w:w="480"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ascii="Calibri" w:hAnsi="Calibri" w:eastAsia="Times New Roman"/>
                <w:color w:val="000000"/>
                <w:sz w:val="16"/>
                <w:szCs w:val="16"/>
                <w:highlight w:val="none"/>
                <w:lang w:val="en-US" w:eastAsia="zh-CN"/>
              </w:rPr>
            </w:pPr>
            <w:r>
              <w:rPr>
                <w:rFonts w:ascii="Calibri" w:hAnsi="Calibri" w:eastAsia="Times New Roman"/>
                <w:color w:val="000000"/>
                <w:sz w:val="16"/>
                <w:szCs w:val="16"/>
                <w:highlight w:val="none"/>
                <w:lang w:val="en-US" w:eastAsia="zh-CN"/>
              </w:rPr>
              <w:t xml:space="preserve"> [0,100]</w:t>
            </w:r>
          </w:p>
        </w:tc>
        <w:tc>
          <w:tcPr>
            <w:tcW w:w="399" w:type="pct"/>
            <w:shd w:val="clear" w:color="000000" w:fill="auto"/>
            <w:noWrap/>
            <w:vAlign w:val="center"/>
          </w:tcPr>
          <w:p>
            <w:pPr>
              <w:jc w:val="center"/>
              <w:rPr>
                <w:rFonts w:ascii="Calibri" w:hAnsi="Calibri" w:eastAsia="Times New Roman"/>
                <w:color w:val="000000"/>
                <w:sz w:val="16"/>
                <w:szCs w:val="16"/>
                <w:highlight w:val="none"/>
                <w:lang w:val="en-US" w:eastAsia="zh-CN"/>
              </w:rPr>
            </w:pPr>
            <w:r>
              <w:rPr>
                <w:rFonts w:ascii="Calibri" w:hAnsi="Calibri" w:eastAsia="Times New Roman"/>
                <w:color w:val="000000"/>
                <w:sz w:val="16"/>
                <w:szCs w:val="16"/>
                <w:highlight w:val="none"/>
                <w:lang w:val="en-US" w:eastAsia="zh-CN"/>
              </w:rPr>
              <w:t>15</w:t>
            </w:r>
          </w:p>
        </w:tc>
        <w:tc>
          <w:tcPr>
            <w:tcW w:w="390" w:type="pct"/>
            <w:shd w:val="clear" w:color="000000" w:fill="auto"/>
            <w:noWrap/>
            <w:vAlign w:val="center"/>
          </w:tcPr>
          <w:p>
            <w:pPr>
              <w:jc w:val="center"/>
              <w:rPr>
                <w:rFonts w:ascii="Calibri" w:hAnsi="Calibri" w:eastAsia="Times New Roman"/>
                <w:color w:val="000000"/>
                <w:sz w:val="16"/>
                <w:szCs w:val="16"/>
                <w:highlight w:val="none"/>
                <w:lang w:val="en-US" w:eastAsia="zh-CN"/>
              </w:rPr>
            </w:pPr>
            <w:r>
              <w:rPr>
                <w:rFonts w:ascii="Calibri" w:hAnsi="Calibri" w:eastAsia="Times New Roman"/>
                <w:color w:val="000000"/>
                <w:sz w:val="16"/>
                <w:szCs w:val="16"/>
                <w:highlight w:val="none"/>
                <w:lang w:val="en-US" w:eastAsia="zh-CN"/>
              </w:rPr>
              <w:t>20</w:t>
            </w:r>
          </w:p>
        </w:tc>
        <w:tc>
          <w:tcPr>
            <w:tcW w:w="441" w:type="pct"/>
            <w:shd w:val="clear" w:color="000000" w:fill="auto"/>
            <w:noWrap/>
            <w:vAlign w:val="center"/>
          </w:tcPr>
          <w:p>
            <w:pPr>
              <w:jc w:val="center"/>
              <w:rPr>
                <w:rFonts w:hint="default" w:ascii="Calibri" w:hAnsi="Calibri" w:eastAsia="Times New Roman"/>
                <w:color w:val="000000"/>
                <w:sz w:val="16"/>
                <w:szCs w:val="16"/>
                <w:highlight w:val="none"/>
                <w:lang w:val="en-US" w:eastAsia="zh-CN"/>
              </w:rPr>
            </w:pPr>
            <w:r>
              <w:rPr>
                <w:rFonts w:hint="eastAsia" w:ascii="Calibri" w:hAnsi="Calibri" w:eastAsia="Times New Roman"/>
                <w:color w:val="000000"/>
                <w:sz w:val="16"/>
                <w:szCs w:val="16"/>
                <w:highlight w:val="none"/>
                <w:lang w:val="en-US" w:eastAsia="zh-CN"/>
              </w:rPr>
              <w:t>ACLR</w:t>
            </w:r>
          </w:p>
        </w:tc>
        <w:tc>
          <w:tcPr>
            <w:tcW w:w="425" w:type="pct"/>
            <w:shd w:val="clear" w:color="000000" w:fill="auto"/>
            <w:noWrap/>
            <w:vAlign w:val="center"/>
          </w:tcPr>
          <w:p>
            <w:pPr>
              <w:jc w:val="center"/>
              <w:rPr>
                <w:rFonts w:hint="default" w:ascii="Calibri" w:hAnsi="Calibri" w:eastAsia="Times New Roman"/>
                <w:b/>
                <w:bCs/>
                <w:color w:val="auto"/>
                <w:sz w:val="16"/>
                <w:szCs w:val="16"/>
                <w:highlight w:val="none"/>
                <w:lang w:val="en-US" w:eastAsia="zh-CN"/>
              </w:rPr>
            </w:pPr>
            <w:r>
              <w:rPr>
                <w:rFonts w:hint="eastAsia" w:ascii="Calibri" w:hAnsi="Calibri" w:eastAsia="Times New Roman"/>
                <w:b/>
                <w:bCs/>
                <w:color w:val="auto"/>
                <w:sz w:val="16"/>
                <w:szCs w:val="16"/>
                <w:highlight w:val="none"/>
                <w:lang w:val="en-US" w:eastAsia="zh-CN"/>
              </w:rPr>
              <w:t>1.06</w:t>
            </w:r>
          </w:p>
        </w:tc>
        <w:tc>
          <w:tcPr>
            <w:tcW w:w="333" w:type="pct"/>
            <w:vMerge w:val="continue"/>
            <w:shd w:val="clear" w:color="000000" w:fill="auto"/>
            <w:noWrap/>
            <w:vAlign w:val="center"/>
          </w:tcPr>
          <w:p>
            <w:pPr>
              <w:jc w:val="center"/>
              <w:rPr>
                <w:rFonts w:hint="eastAsia" w:ascii="Calibri" w:hAnsi="Calibri" w:eastAsia="Times New Roman"/>
                <w:color w:val="auto"/>
                <w:sz w:val="16"/>
                <w:szCs w:val="16"/>
                <w:highlight w:val="none"/>
                <w:lang w:val="en-US" w:eastAsia="zh-CN"/>
              </w:rPr>
            </w:pPr>
          </w:p>
        </w:tc>
        <w:tc>
          <w:tcPr>
            <w:tcW w:w="524"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82"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0.8</w:t>
            </w:r>
          </w:p>
        </w:tc>
        <w:tc>
          <w:tcPr>
            <w:tcW w:w="480"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[0,270]</w:t>
            </w:r>
          </w:p>
        </w:tc>
        <w:tc>
          <w:tcPr>
            <w:tcW w:w="399"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15</w:t>
            </w:r>
          </w:p>
        </w:tc>
        <w:tc>
          <w:tcPr>
            <w:tcW w:w="390"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50</w:t>
            </w:r>
          </w:p>
        </w:tc>
        <w:tc>
          <w:tcPr>
            <w:tcW w:w="441" w:type="pct"/>
            <w:shd w:val="clear" w:color="000000" w:fill="auto"/>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ACLR</w:t>
            </w:r>
          </w:p>
        </w:tc>
        <w:tc>
          <w:tcPr>
            <w:tcW w:w="425"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1.2</w:t>
            </w:r>
          </w:p>
        </w:tc>
        <w:tc>
          <w:tcPr>
            <w:tcW w:w="333" w:type="pct"/>
            <w:vMerge w:val="continue"/>
            <w:shd w:val="clear" w:color="000000" w:fill="auto"/>
            <w:noWrap/>
            <w:vAlign w:val="center"/>
          </w:tcPr>
          <w:p>
            <w:pPr>
              <w:jc w:val="center"/>
              <w:rPr>
                <w:rFonts w:hint="eastAsia" w:ascii="Calibri" w:hAnsi="Calibri" w:eastAsia="Times New Roman"/>
                <w:color w:val="auto"/>
                <w:sz w:val="16"/>
                <w:szCs w:val="16"/>
                <w:lang w:val="en-US" w:eastAsia="zh-CN"/>
              </w:rPr>
            </w:pPr>
          </w:p>
        </w:tc>
        <w:tc>
          <w:tcPr>
            <w:tcW w:w="524"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82"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0.8</w:t>
            </w:r>
          </w:p>
        </w:tc>
        <w:tc>
          <w:tcPr>
            <w:tcW w:w="480"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[0,128]</w:t>
            </w:r>
          </w:p>
        </w:tc>
        <w:tc>
          <w:tcPr>
            <w:tcW w:w="399"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30</w:t>
            </w:r>
          </w:p>
        </w:tc>
        <w:tc>
          <w:tcPr>
            <w:tcW w:w="390"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50</w:t>
            </w:r>
          </w:p>
        </w:tc>
        <w:tc>
          <w:tcPr>
            <w:tcW w:w="441" w:type="pct"/>
            <w:shd w:val="clear" w:color="000000" w:fill="auto"/>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ACLR</w:t>
            </w:r>
          </w:p>
        </w:tc>
        <w:tc>
          <w:tcPr>
            <w:tcW w:w="425"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1.06</w:t>
            </w:r>
          </w:p>
        </w:tc>
        <w:tc>
          <w:tcPr>
            <w:tcW w:w="333" w:type="pct"/>
            <w:vMerge w:val="continue"/>
            <w:shd w:val="clear" w:color="000000" w:fill="auto"/>
            <w:noWrap/>
            <w:vAlign w:val="center"/>
          </w:tcPr>
          <w:p>
            <w:pPr>
              <w:jc w:val="center"/>
              <w:rPr>
                <w:rFonts w:hint="eastAsia" w:ascii="Calibri" w:hAnsi="Calibri" w:eastAsia="Times New Roman"/>
                <w:color w:val="auto"/>
                <w:sz w:val="16"/>
                <w:szCs w:val="16"/>
                <w:lang w:val="en-US" w:eastAsia="zh-CN"/>
              </w:rPr>
            </w:pPr>
          </w:p>
        </w:tc>
        <w:tc>
          <w:tcPr>
            <w:tcW w:w="524"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82"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0.72</w:t>
            </w:r>
          </w:p>
        </w:tc>
        <w:tc>
          <w:tcPr>
            <w:tcW w:w="480"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[0,270]</w:t>
            </w:r>
          </w:p>
        </w:tc>
        <w:tc>
          <w:tcPr>
            <w:tcW w:w="399"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30</w:t>
            </w:r>
          </w:p>
        </w:tc>
        <w:tc>
          <w:tcPr>
            <w:tcW w:w="390"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100</w:t>
            </w:r>
          </w:p>
        </w:tc>
        <w:tc>
          <w:tcPr>
            <w:tcW w:w="441" w:type="pct"/>
            <w:shd w:val="clear" w:color="000000" w:fill="auto"/>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ACLR</w:t>
            </w:r>
          </w:p>
        </w:tc>
        <w:tc>
          <w:tcPr>
            <w:tcW w:w="425"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1.15</w:t>
            </w:r>
          </w:p>
        </w:tc>
        <w:tc>
          <w:tcPr>
            <w:tcW w:w="333" w:type="pct"/>
            <w:vMerge w:val="continue"/>
            <w:shd w:val="clear" w:color="000000" w:fill="auto"/>
            <w:noWrap/>
            <w:vAlign w:val="center"/>
          </w:tcPr>
          <w:p>
            <w:pPr>
              <w:jc w:val="center"/>
              <w:rPr>
                <w:rFonts w:hint="eastAsia" w:ascii="Calibri" w:hAnsi="Calibri" w:eastAsia="Times New Roman"/>
                <w:color w:val="auto"/>
                <w:sz w:val="16"/>
                <w:szCs w:val="16"/>
                <w:lang w:val="en-US" w:eastAsia="zh-CN"/>
              </w:rPr>
            </w:pPr>
          </w:p>
        </w:tc>
        <w:tc>
          <w:tcPr>
            <w:tcW w:w="524"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82"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0.8</w:t>
            </w:r>
          </w:p>
        </w:tc>
        <w:tc>
          <w:tcPr>
            <w:tcW w:w="480"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[0,18]</w:t>
            </w:r>
          </w:p>
        </w:tc>
        <w:tc>
          <w:tcPr>
            <w:tcW w:w="399"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60</w:t>
            </w:r>
          </w:p>
        </w:tc>
        <w:tc>
          <w:tcPr>
            <w:tcW w:w="390"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15</w:t>
            </w:r>
          </w:p>
        </w:tc>
        <w:tc>
          <w:tcPr>
            <w:tcW w:w="441" w:type="pct"/>
            <w:shd w:val="clear" w:color="000000" w:fill="auto"/>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ACLR</w:t>
            </w:r>
          </w:p>
        </w:tc>
        <w:tc>
          <w:tcPr>
            <w:tcW w:w="425"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0.93</w:t>
            </w:r>
          </w:p>
        </w:tc>
        <w:tc>
          <w:tcPr>
            <w:tcW w:w="333" w:type="pct"/>
            <w:vMerge w:val="continue"/>
            <w:shd w:val="clear" w:color="000000" w:fill="auto"/>
            <w:noWrap/>
            <w:vAlign w:val="center"/>
          </w:tcPr>
          <w:p>
            <w:pPr>
              <w:jc w:val="center"/>
              <w:rPr>
                <w:rFonts w:hint="eastAsia" w:ascii="Calibri" w:hAnsi="Calibri" w:eastAsia="Times New Roman"/>
                <w:color w:val="FF0000"/>
                <w:sz w:val="16"/>
                <w:szCs w:val="16"/>
                <w:lang w:val="en-US" w:eastAsia="zh-CN"/>
              </w:rPr>
            </w:pPr>
          </w:p>
        </w:tc>
        <w:tc>
          <w:tcPr>
            <w:tcW w:w="524"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82"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0.64</w:t>
            </w:r>
          </w:p>
        </w:tc>
        <w:tc>
          <w:tcPr>
            <w:tcW w:w="480"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[0,100]</w:t>
            </w:r>
          </w:p>
        </w:tc>
        <w:tc>
          <w:tcPr>
            <w:tcW w:w="399"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60</w:t>
            </w:r>
          </w:p>
        </w:tc>
        <w:tc>
          <w:tcPr>
            <w:tcW w:w="390"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80</w:t>
            </w:r>
          </w:p>
        </w:tc>
        <w:tc>
          <w:tcPr>
            <w:tcW w:w="441" w:type="pct"/>
            <w:shd w:val="clear" w:color="000000" w:fill="auto"/>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ACLR</w:t>
            </w:r>
          </w:p>
        </w:tc>
        <w:tc>
          <w:tcPr>
            <w:tcW w:w="425"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1.15</w:t>
            </w:r>
          </w:p>
        </w:tc>
        <w:tc>
          <w:tcPr>
            <w:tcW w:w="333" w:type="pct"/>
            <w:vMerge w:val="continue"/>
            <w:shd w:val="clear" w:color="000000" w:fill="auto"/>
            <w:noWrap/>
            <w:vAlign w:val="center"/>
          </w:tcPr>
          <w:p>
            <w:pPr>
              <w:jc w:val="center"/>
              <w:rPr>
                <w:rFonts w:hint="eastAsia" w:ascii="Calibri" w:hAnsi="Calibri" w:eastAsia="Times New Roman"/>
                <w:color w:val="auto"/>
                <w:sz w:val="16"/>
                <w:szCs w:val="16"/>
                <w:lang w:val="en-US" w:eastAsia="zh-CN"/>
              </w:rPr>
            </w:pPr>
          </w:p>
        </w:tc>
        <w:tc>
          <w:tcPr>
            <w:tcW w:w="524"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82"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0.68</w:t>
            </w:r>
          </w:p>
        </w:tc>
        <w:tc>
          <w:tcPr>
            <w:tcW w:w="480"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DCE6F1"/>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[0,50]</w:t>
            </w:r>
          </w:p>
        </w:tc>
        <w:tc>
          <w:tcPr>
            <w:tcW w:w="399"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15</w:t>
            </w:r>
          </w:p>
        </w:tc>
        <w:tc>
          <w:tcPr>
            <w:tcW w:w="390"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20</w:t>
            </w:r>
          </w:p>
        </w:tc>
        <w:tc>
          <w:tcPr>
            <w:tcW w:w="441"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ACLR</w:t>
            </w:r>
          </w:p>
        </w:tc>
        <w:tc>
          <w:tcPr>
            <w:tcW w:w="425" w:type="pct"/>
            <w:shd w:val="clear" w:color="000000" w:fill="DCE6F1"/>
            <w:noWrap/>
            <w:vAlign w:val="center"/>
          </w:tcPr>
          <w:p>
            <w:pPr>
              <w:jc w:val="center"/>
              <w:rPr>
                <w:rFonts w:hint="default" w:ascii="Calibri" w:hAnsi="Calibri" w:eastAsia="Times New Roman" w:cs="Times New Roman"/>
                <w:b/>
                <w:bCs/>
                <w:color w:val="auto"/>
                <w:kern w:val="2"/>
                <w:sz w:val="16"/>
                <w:szCs w:val="16"/>
                <w:lang w:val="en-US" w:eastAsia="zh-CN" w:bidi="ar-SA"/>
              </w:rPr>
            </w:pPr>
            <w:r>
              <w:rPr>
                <w:rFonts w:hint="eastAsia" w:ascii="Calibri" w:hAnsi="Calibri" w:eastAsia="Times New Roman"/>
                <w:b/>
                <w:bCs/>
                <w:color w:val="auto"/>
                <w:sz w:val="16"/>
                <w:szCs w:val="16"/>
                <w:lang w:val="en-US" w:eastAsia="zh-CN"/>
              </w:rPr>
              <w:t>0.84</w:t>
            </w:r>
          </w:p>
        </w:tc>
        <w:tc>
          <w:tcPr>
            <w:tcW w:w="333" w:type="pct"/>
            <w:vMerge w:val="continue"/>
            <w:shd w:val="clear" w:color="000000" w:fill="DCE6F1"/>
            <w:noWrap/>
            <w:vAlign w:val="center"/>
          </w:tcPr>
          <w:p>
            <w:pPr>
              <w:jc w:val="center"/>
              <w:rPr>
                <w:rFonts w:hint="default" w:ascii="Calibri" w:hAnsi="Calibri" w:eastAsia="Times New Roman" w:cs="Times New Roman"/>
                <w:color w:val="auto"/>
                <w:kern w:val="2"/>
                <w:sz w:val="16"/>
                <w:szCs w:val="16"/>
                <w:lang w:val="en-US" w:eastAsia="zh-CN" w:bidi="ar-SA"/>
              </w:rPr>
            </w:pPr>
          </w:p>
        </w:tc>
        <w:tc>
          <w:tcPr>
            <w:tcW w:w="524" w:type="pct"/>
            <w:shd w:val="clear" w:color="000000" w:fill="DCE6F1"/>
            <w:noWrap/>
            <w:vAlign w:val="center"/>
          </w:tcPr>
          <w:p>
            <w:pPr>
              <w:jc w:val="center"/>
              <w:rPr>
                <w:rFonts w:hint="eastAsia" w:ascii="Calibri" w:hAnsi="Calibri" w:eastAsia="Times New Roman" w:cs="Times New Roman"/>
                <w:color w:val="auto"/>
                <w:kern w:val="2"/>
                <w:sz w:val="16"/>
                <w:szCs w:val="16"/>
                <w:lang w:val="en-US" w:eastAsia="zh-CN" w:bidi="ar-SA"/>
              </w:rPr>
            </w:pPr>
            <w:r>
              <w:rPr>
                <w:rFonts w:hint="eastAsia" w:ascii="Calibri" w:hAnsi="Calibri" w:eastAsia="Times New Roman"/>
                <w:color w:val="auto"/>
                <w:sz w:val="16"/>
                <w:szCs w:val="16"/>
                <w:lang w:val="en-US" w:eastAsia="zh-CN"/>
              </w:rPr>
              <w:t>ACLR</w:t>
            </w:r>
          </w:p>
        </w:tc>
        <w:tc>
          <w:tcPr>
            <w:tcW w:w="382" w:type="pct"/>
            <w:shd w:val="clear" w:color="000000" w:fill="DCE6F1"/>
            <w:noWrap/>
            <w:vAlign w:val="center"/>
          </w:tcPr>
          <w:p>
            <w:pPr>
              <w:jc w:val="center"/>
              <w:rPr>
                <w:rFonts w:hint="eastAsia" w:ascii="Calibri" w:hAnsi="Calibri" w:eastAsia="Times New Roman" w:cs="Times New Roman"/>
                <w:b/>
                <w:bCs/>
                <w:color w:val="auto"/>
                <w:kern w:val="2"/>
                <w:sz w:val="16"/>
                <w:szCs w:val="16"/>
                <w:lang w:val="en-US" w:eastAsia="zh-CN" w:bidi="ar-SA"/>
              </w:rPr>
            </w:pPr>
            <w:r>
              <w:rPr>
                <w:rFonts w:hint="eastAsia" w:ascii="Calibri" w:hAnsi="Calibri" w:eastAsia="Times New Roman"/>
                <w:b/>
                <w:bCs/>
                <w:color w:val="auto"/>
                <w:sz w:val="16"/>
                <w:szCs w:val="16"/>
                <w:lang w:val="en-US" w:eastAsia="zh-CN"/>
              </w:rPr>
              <w:t>0.5</w:t>
            </w:r>
          </w:p>
        </w:tc>
        <w:tc>
          <w:tcPr>
            <w:tcW w:w="480" w:type="pct"/>
            <w:shd w:val="clear" w:color="000000" w:fill="DCE6F1"/>
            <w:noWrap/>
            <w:vAlign w:val="center"/>
          </w:tcPr>
          <w:p>
            <w:pPr>
              <w:jc w:val="center"/>
              <w:rPr>
                <w:rFonts w:hint="eastAsia" w:ascii="Calibri" w:hAnsi="Calibri" w:eastAsia="Times New Roman" w:cs="Times New Roman"/>
                <w:color w:val="auto"/>
                <w:kern w:val="2"/>
                <w:sz w:val="16"/>
                <w:szCs w:val="16"/>
                <w:lang w:val="en-US" w:eastAsia="zh-CN" w:bidi="ar-SA"/>
              </w:rPr>
            </w:pPr>
            <w:r>
              <w:rPr>
                <w:rFonts w:hint="eastAsia" w:ascii="Calibri" w:hAnsi="Calibri" w:eastAsia="Times New Roman"/>
                <w:color w:val="auto"/>
                <w:sz w:val="16"/>
                <w:szCs w:val="16"/>
                <w:lang w:val="en-US" w:eastAsia="zh-CN"/>
              </w:rPr>
              <w:t>ACLR</w:t>
            </w:r>
          </w:p>
        </w:tc>
        <w:tc>
          <w:tcPr>
            <w:tcW w:w="421" w:type="pct"/>
            <w:shd w:val="clear" w:color="000000" w:fill="DCE6F1"/>
            <w:noWrap/>
            <w:vAlign w:val="center"/>
          </w:tcPr>
          <w:p>
            <w:pPr>
              <w:jc w:val="center"/>
              <w:rPr>
                <w:rFonts w:hint="eastAsia" w:ascii="Calibri" w:hAnsi="Calibri" w:eastAsia="Times New Roman" w:cs="Times New Roman"/>
                <w:b/>
                <w:bCs/>
                <w:color w:val="auto"/>
                <w:kern w:val="2"/>
                <w:sz w:val="16"/>
                <w:szCs w:val="16"/>
                <w:lang w:val="en-US" w:eastAsia="zh-CN" w:bidi="ar-SA"/>
              </w:rPr>
            </w:pPr>
            <w:r>
              <w:rPr>
                <w:rFonts w:hint="eastAsia" w:ascii="Calibri" w:hAnsi="Calibri" w:eastAsia="Times New Roman"/>
                <w:b/>
                <w:bCs/>
                <w:color w:val="auto"/>
                <w:sz w:val="16"/>
                <w:szCs w:val="16"/>
                <w:lang w:val="en-US" w:eastAsia="zh-CN"/>
              </w:rPr>
              <w:t>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[0,20]</w:t>
            </w:r>
          </w:p>
        </w:tc>
        <w:tc>
          <w:tcPr>
            <w:tcW w:w="399" w:type="pct"/>
            <w:shd w:val="clear" w:color="000000" w:fill="DCE6F1"/>
            <w:noWrap/>
            <w:vAlign w:val="center"/>
          </w:tcPr>
          <w:p>
            <w:pPr>
              <w:jc w:val="center"/>
              <w:rPr>
                <w:rFonts w:hint="default"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15</w:t>
            </w:r>
          </w:p>
        </w:tc>
        <w:tc>
          <w:tcPr>
            <w:tcW w:w="390" w:type="pct"/>
            <w:shd w:val="clear" w:color="000000" w:fill="DCE6F1"/>
            <w:noWrap/>
            <w:vAlign w:val="center"/>
          </w:tcPr>
          <w:p>
            <w:pPr>
              <w:jc w:val="center"/>
              <w:rPr>
                <w:rFonts w:hint="default"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20</w:t>
            </w:r>
          </w:p>
        </w:tc>
        <w:tc>
          <w:tcPr>
            <w:tcW w:w="441"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ACLR</w:t>
            </w:r>
          </w:p>
        </w:tc>
        <w:tc>
          <w:tcPr>
            <w:tcW w:w="425"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0.1</w:t>
            </w:r>
          </w:p>
        </w:tc>
        <w:tc>
          <w:tcPr>
            <w:tcW w:w="333" w:type="pct"/>
            <w:vMerge w:val="continue"/>
            <w:shd w:val="clear" w:color="000000" w:fill="DCE6F1"/>
            <w:noWrap/>
            <w:vAlign w:val="center"/>
          </w:tcPr>
          <w:p>
            <w:pPr>
              <w:jc w:val="center"/>
              <w:rPr>
                <w:rFonts w:hint="eastAsia" w:ascii="Calibri" w:hAnsi="Calibri" w:eastAsia="Times New Roman"/>
                <w:color w:val="FF0000"/>
                <w:sz w:val="16"/>
                <w:szCs w:val="16"/>
                <w:lang w:val="en-US" w:eastAsia="zh-CN"/>
              </w:rPr>
            </w:pPr>
          </w:p>
        </w:tc>
        <w:tc>
          <w:tcPr>
            <w:tcW w:w="524" w:type="pct"/>
            <w:shd w:val="clear" w:color="000000" w:fill="DCE6F1"/>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FF0000"/>
                <w:sz w:val="16"/>
                <w:szCs w:val="16"/>
                <w:lang w:val="en-US" w:eastAsia="zh-CN"/>
              </w:rPr>
              <w:t>SEM</w:t>
            </w:r>
          </w:p>
        </w:tc>
        <w:tc>
          <w:tcPr>
            <w:tcW w:w="382"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w:t>
            </w:r>
          </w:p>
        </w:tc>
        <w:tc>
          <w:tcPr>
            <w:tcW w:w="480" w:type="pct"/>
            <w:shd w:val="clear" w:color="000000" w:fill="DCE6F1"/>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FF0000"/>
                <w:sz w:val="16"/>
                <w:szCs w:val="16"/>
                <w:lang w:val="en-US" w:eastAsia="zh-CN"/>
              </w:rPr>
              <w:t>SEM</w:t>
            </w:r>
          </w:p>
        </w:tc>
        <w:tc>
          <w:tcPr>
            <w:tcW w:w="421"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[0,50]</w:t>
            </w:r>
          </w:p>
        </w:tc>
        <w:tc>
          <w:tcPr>
            <w:tcW w:w="399"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30</w:t>
            </w:r>
          </w:p>
        </w:tc>
        <w:tc>
          <w:tcPr>
            <w:tcW w:w="390"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50</w:t>
            </w:r>
          </w:p>
        </w:tc>
        <w:tc>
          <w:tcPr>
            <w:tcW w:w="441"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ACLR</w:t>
            </w:r>
          </w:p>
        </w:tc>
        <w:tc>
          <w:tcPr>
            <w:tcW w:w="425" w:type="pct"/>
            <w:shd w:val="clear" w:color="000000" w:fill="DCE6F1"/>
            <w:noWrap/>
            <w:vAlign w:val="center"/>
          </w:tcPr>
          <w:p>
            <w:pPr>
              <w:jc w:val="center"/>
              <w:rPr>
                <w:rFonts w:hint="eastAsia" w:ascii="Calibri" w:hAnsi="Calibri" w:eastAsia="Times New Roman" w:cs="Times New Roman"/>
                <w:b/>
                <w:bCs/>
                <w:color w:val="auto"/>
                <w:kern w:val="2"/>
                <w:sz w:val="16"/>
                <w:szCs w:val="16"/>
                <w:lang w:val="en-US" w:eastAsia="zh-CN" w:bidi="ar-SA"/>
              </w:rPr>
            </w:pPr>
            <w:r>
              <w:rPr>
                <w:rFonts w:hint="eastAsia" w:ascii="Calibri" w:hAnsi="Calibri" w:eastAsia="Times New Roman"/>
                <w:b/>
                <w:bCs/>
                <w:color w:val="auto"/>
                <w:sz w:val="16"/>
                <w:szCs w:val="16"/>
                <w:lang w:val="en-US" w:eastAsia="zh-CN"/>
              </w:rPr>
              <w:t>0.93</w:t>
            </w:r>
          </w:p>
        </w:tc>
        <w:tc>
          <w:tcPr>
            <w:tcW w:w="333" w:type="pct"/>
            <w:vMerge w:val="continue"/>
            <w:shd w:val="clear" w:color="000000" w:fill="DCE6F1"/>
            <w:noWrap/>
            <w:vAlign w:val="center"/>
          </w:tcPr>
          <w:p>
            <w:pPr>
              <w:jc w:val="center"/>
              <w:rPr>
                <w:rFonts w:hint="eastAsia" w:ascii="Calibri" w:hAnsi="Calibri" w:eastAsia="Times New Roman"/>
                <w:color w:val="FF0000"/>
                <w:sz w:val="16"/>
                <w:szCs w:val="16"/>
                <w:lang w:val="en-US" w:eastAsia="zh-CN"/>
              </w:rPr>
            </w:pPr>
          </w:p>
        </w:tc>
        <w:tc>
          <w:tcPr>
            <w:tcW w:w="524" w:type="pct"/>
            <w:shd w:val="clear" w:color="000000" w:fill="DCE6F1"/>
            <w:noWrap/>
            <w:vAlign w:val="center"/>
          </w:tcPr>
          <w:p>
            <w:pPr>
              <w:jc w:val="center"/>
              <w:rPr>
                <w:rFonts w:hint="eastAsia" w:ascii="Calibri" w:hAnsi="Calibri" w:eastAsia="Times New Roman" w:cs="Times New Roman"/>
                <w:color w:val="auto"/>
                <w:kern w:val="2"/>
                <w:sz w:val="16"/>
                <w:szCs w:val="16"/>
                <w:lang w:val="en-US" w:eastAsia="zh-CN" w:bidi="ar-SA"/>
              </w:rPr>
            </w:pPr>
            <w:r>
              <w:rPr>
                <w:rFonts w:hint="eastAsia" w:ascii="Calibri" w:hAnsi="Calibri" w:eastAsia="Times New Roman"/>
                <w:color w:val="auto"/>
                <w:sz w:val="16"/>
                <w:szCs w:val="16"/>
                <w:lang w:val="en-US" w:eastAsia="zh-CN"/>
              </w:rPr>
              <w:t>ACLR</w:t>
            </w:r>
          </w:p>
        </w:tc>
        <w:tc>
          <w:tcPr>
            <w:tcW w:w="382" w:type="pct"/>
            <w:shd w:val="clear" w:color="000000" w:fill="DCE6F1"/>
            <w:noWrap/>
            <w:vAlign w:val="center"/>
          </w:tcPr>
          <w:p>
            <w:pPr>
              <w:jc w:val="center"/>
              <w:rPr>
                <w:rFonts w:hint="eastAsia" w:ascii="Calibri" w:hAnsi="Calibri" w:eastAsia="Times New Roman" w:cs="Times New Roman"/>
                <w:b/>
                <w:bCs/>
                <w:color w:val="auto"/>
                <w:kern w:val="2"/>
                <w:sz w:val="16"/>
                <w:szCs w:val="16"/>
                <w:lang w:val="en-US" w:eastAsia="zh-CN" w:bidi="ar-SA"/>
              </w:rPr>
            </w:pPr>
            <w:r>
              <w:rPr>
                <w:rFonts w:hint="eastAsia" w:ascii="Calibri" w:hAnsi="Calibri" w:eastAsia="Times New Roman"/>
                <w:b/>
                <w:bCs/>
                <w:color w:val="auto"/>
                <w:sz w:val="16"/>
                <w:szCs w:val="16"/>
                <w:lang w:val="en-US" w:eastAsia="zh-CN"/>
              </w:rPr>
              <w:t>0.59</w:t>
            </w:r>
          </w:p>
        </w:tc>
        <w:tc>
          <w:tcPr>
            <w:tcW w:w="480" w:type="pct"/>
            <w:shd w:val="clear" w:color="000000" w:fill="DCE6F1"/>
            <w:noWrap/>
            <w:vAlign w:val="center"/>
          </w:tcPr>
          <w:p>
            <w:pPr>
              <w:jc w:val="center"/>
              <w:rPr>
                <w:rFonts w:hint="eastAsia" w:ascii="Calibri" w:hAnsi="Calibri" w:eastAsia="Times New Roman" w:cs="Times New Roman"/>
                <w:color w:val="auto"/>
                <w:kern w:val="2"/>
                <w:sz w:val="16"/>
                <w:szCs w:val="16"/>
                <w:lang w:val="en-US" w:eastAsia="zh-CN" w:bidi="ar-SA"/>
              </w:rPr>
            </w:pPr>
            <w:r>
              <w:rPr>
                <w:rFonts w:hint="eastAsia" w:ascii="Calibri" w:hAnsi="Calibri" w:eastAsia="Times New Roman"/>
                <w:color w:val="auto"/>
                <w:sz w:val="16"/>
                <w:szCs w:val="16"/>
                <w:lang w:val="en-US" w:eastAsia="zh-CN"/>
              </w:rPr>
              <w:t>ACLR</w:t>
            </w:r>
          </w:p>
        </w:tc>
        <w:tc>
          <w:tcPr>
            <w:tcW w:w="421" w:type="pct"/>
            <w:shd w:val="clear" w:color="000000" w:fill="DCE6F1"/>
            <w:noWrap/>
            <w:vAlign w:val="center"/>
          </w:tcPr>
          <w:p>
            <w:pPr>
              <w:jc w:val="center"/>
              <w:rPr>
                <w:rFonts w:hint="eastAsia" w:ascii="Calibri" w:hAnsi="Calibri" w:eastAsia="Times New Roman" w:cs="Times New Roman"/>
                <w:b/>
                <w:bCs/>
                <w:color w:val="auto"/>
                <w:kern w:val="2"/>
                <w:sz w:val="16"/>
                <w:szCs w:val="16"/>
                <w:lang w:val="en-US" w:eastAsia="zh-CN" w:bidi="ar-SA"/>
              </w:rPr>
            </w:pPr>
            <w:r>
              <w:rPr>
                <w:rFonts w:hint="eastAsia" w:ascii="Calibri" w:hAnsi="Calibri" w:eastAsia="Times New Roman"/>
                <w:b/>
                <w:bCs/>
                <w:color w:val="auto"/>
                <w:sz w:val="16"/>
                <w:szCs w:val="16"/>
                <w:lang w:val="en-US" w:eastAsia="zh-CN"/>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[0,20]</w:t>
            </w:r>
          </w:p>
        </w:tc>
        <w:tc>
          <w:tcPr>
            <w:tcW w:w="399"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30</w:t>
            </w:r>
          </w:p>
        </w:tc>
        <w:tc>
          <w:tcPr>
            <w:tcW w:w="390"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50</w:t>
            </w:r>
          </w:p>
        </w:tc>
        <w:tc>
          <w:tcPr>
            <w:tcW w:w="441"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ACLR</w:t>
            </w:r>
          </w:p>
        </w:tc>
        <w:tc>
          <w:tcPr>
            <w:tcW w:w="425" w:type="pct"/>
            <w:shd w:val="clear" w:color="000000" w:fill="DCE6F1"/>
            <w:noWrap/>
            <w:vAlign w:val="center"/>
          </w:tcPr>
          <w:p>
            <w:pPr>
              <w:jc w:val="center"/>
              <w:rPr>
                <w:rFonts w:hint="default" w:ascii="Calibri" w:hAnsi="Calibri" w:eastAsia="Times New Roman" w:cs="Times New Roman"/>
                <w:b/>
                <w:bCs/>
                <w:color w:val="auto"/>
                <w:kern w:val="2"/>
                <w:sz w:val="16"/>
                <w:szCs w:val="16"/>
                <w:lang w:val="en-US" w:eastAsia="zh-CN" w:bidi="ar-SA"/>
              </w:rPr>
            </w:pPr>
            <w:r>
              <w:rPr>
                <w:rFonts w:hint="eastAsia" w:ascii="Calibri" w:hAnsi="Calibri" w:eastAsia="Times New Roman" w:cs="Times New Roman"/>
                <w:b/>
                <w:bCs/>
                <w:color w:val="auto"/>
                <w:kern w:val="2"/>
                <w:sz w:val="16"/>
                <w:szCs w:val="16"/>
                <w:lang w:val="en-US" w:eastAsia="zh-CN" w:bidi="ar-SA"/>
              </w:rPr>
              <w:t>0.25</w:t>
            </w:r>
          </w:p>
        </w:tc>
        <w:tc>
          <w:tcPr>
            <w:tcW w:w="333" w:type="pct"/>
            <w:vMerge w:val="continue"/>
            <w:shd w:val="clear" w:color="000000" w:fill="DCE6F1"/>
            <w:noWrap/>
            <w:vAlign w:val="center"/>
          </w:tcPr>
          <w:p>
            <w:pPr>
              <w:jc w:val="center"/>
              <w:rPr>
                <w:rFonts w:hint="eastAsia" w:ascii="Calibri" w:hAnsi="Calibri" w:eastAsia="Times New Roman"/>
                <w:color w:val="FF0000"/>
                <w:sz w:val="16"/>
                <w:szCs w:val="16"/>
                <w:lang w:val="en-US" w:eastAsia="zh-CN"/>
              </w:rPr>
            </w:pPr>
          </w:p>
        </w:tc>
        <w:tc>
          <w:tcPr>
            <w:tcW w:w="524" w:type="pct"/>
            <w:shd w:val="clear" w:color="000000" w:fill="DCE6F1"/>
            <w:noWrap/>
            <w:vAlign w:val="center"/>
          </w:tcPr>
          <w:p>
            <w:pPr>
              <w:jc w:val="center"/>
              <w:rPr>
                <w:rFonts w:hint="default" w:ascii="Calibri" w:hAnsi="Calibri" w:eastAsia="Times New Roman" w:cs="Times New Roman"/>
                <w:color w:val="auto"/>
                <w:kern w:val="2"/>
                <w:sz w:val="16"/>
                <w:szCs w:val="16"/>
                <w:lang w:val="en-US" w:eastAsia="zh-CN" w:bidi="ar-SA"/>
              </w:rPr>
            </w:pPr>
            <w:r>
              <w:rPr>
                <w:rFonts w:hint="eastAsia" w:ascii="Calibri" w:hAnsi="Calibri" w:eastAsia="Times New Roman" w:cs="Times New Roman"/>
                <w:color w:val="auto"/>
                <w:kern w:val="2"/>
                <w:sz w:val="16"/>
                <w:szCs w:val="16"/>
                <w:lang w:val="en-US" w:eastAsia="zh-CN" w:bidi="ar-SA"/>
              </w:rPr>
              <w:t>ACLR</w:t>
            </w:r>
          </w:p>
        </w:tc>
        <w:tc>
          <w:tcPr>
            <w:tcW w:w="382" w:type="pct"/>
            <w:shd w:val="clear" w:color="000000" w:fill="DCE6F1"/>
            <w:noWrap/>
            <w:vAlign w:val="center"/>
          </w:tcPr>
          <w:p>
            <w:pPr>
              <w:jc w:val="center"/>
              <w:rPr>
                <w:rFonts w:hint="default" w:ascii="Calibri" w:hAnsi="Calibri" w:eastAsia="Times New Roman" w:cs="Times New Roman"/>
                <w:b/>
                <w:bCs/>
                <w:color w:val="auto"/>
                <w:kern w:val="2"/>
                <w:sz w:val="16"/>
                <w:szCs w:val="16"/>
                <w:lang w:val="en-US" w:eastAsia="zh-CN" w:bidi="ar-SA"/>
              </w:rPr>
            </w:pPr>
            <w:r>
              <w:rPr>
                <w:rFonts w:hint="eastAsia" w:ascii="Calibri" w:hAnsi="Calibri" w:eastAsia="Times New Roman" w:cs="Times New Roman"/>
                <w:b/>
                <w:bCs/>
                <w:color w:val="auto"/>
                <w:kern w:val="2"/>
                <w:sz w:val="16"/>
                <w:szCs w:val="16"/>
                <w:lang w:val="en-US" w:eastAsia="zh-CN" w:bidi="ar-SA"/>
              </w:rPr>
              <w:t>0</w:t>
            </w:r>
          </w:p>
        </w:tc>
        <w:tc>
          <w:tcPr>
            <w:tcW w:w="480" w:type="pct"/>
            <w:shd w:val="clear" w:color="000000" w:fill="DCE6F1"/>
            <w:noWrap/>
            <w:vAlign w:val="center"/>
          </w:tcPr>
          <w:p>
            <w:pPr>
              <w:jc w:val="center"/>
              <w:rPr>
                <w:rFonts w:hint="default" w:ascii="Calibri" w:hAnsi="Calibri" w:eastAsia="Times New Roman" w:cs="Times New Roman"/>
                <w:color w:val="auto"/>
                <w:kern w:val="2"/>
                <w:sz w:val="16"/>
                <w:szCs w:val="16"/>
                <w:lang w:val="en-US" w:eastAsia="zh-CN" w:bidi="ar-SA"/>
              </w:rPr>
            </w:pPr>
            <w:r>
              <w:rPr>
                <w:rFonts w:hint="eastAsia" w:ascii="Calibri" w:hAnsi="Calibri" w:eastAsia="Times New Roman" w:cs="Times New Roman"/>
                <w:color w:val="FF0000"/>
                <w:kern w:val="2"/>
                <w:sz w:val="16"/>
                <w:szCs w:val="16"/>
                <w:lang w:val="en-US" w:eastAsia="zh-CN" w:bidi="ar-SA"/>
              </w:rPr>
              <w:t>SEM</w:t>
            </w:r>
          </w:p>
        </w:tc>
        <w:tc>
          <w:tcPr>
            <w:tcW w:w="421" w:type="pct"/>
            <w:shd w:val="clear" w:color="000000" w:fill="DCE6F1"/>
            <w:noWrap/>
            <w:vAlign w:val="center"/>
          </w:tcPr>
          <w:p>
            <w:pPr>
              <w:jc w:val="center"/>
              <w:rPr>
                <w:rFonts w:hint="default" w:ascii="Calibri" w:hAnsi="Calibri" w:eastAsia="Times New Roman" w:cs="Times New Roman"/>
                <w:b/>
                <w:bCs/>
                <w:color w:val="auto"/>
                <w:kern w:val="2"/>
                <w:sz w:val="16"/>
                <w:szCs w:val="16"/>
                <w:lang w:val="en-US" w:eastAsia="zh-CN" w:bidi="ar-SA"/>
              </w:rPr>
            </w:pPr>
            <w:r>
              <w:rPr>
                <w:rFonts w:hint="eastAsia" w:ascii="Calibri" w:hAnsi="Calibri" w:eastAsia="Times New Roman" w:cs="Times New Roman"/>
                <w:b/>
                <w:bCs/>
                <w:color w:val="auto"/>
                <w:kern w:val="2"/>
                <w:sz w:val="16"/>
                <w:szCs w:val="16"/>
                <w:lang w:val="en-US" w:eastAsia="zh-CN" w:bidi="ar-SA"/>
              </w:rP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DCE6F1"/>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[0,50]</w:t>
            </w:r>
          </w:p>
        </w:tc>
        <w:tc>
          <w:tcPr>
            <w:tcW w:w="399" w:type="pct"/>
            <w:shd w:val="clear" w:color="000000" w:fill="DCE6F1"/>
            <w:noWrap/>
            <w:vAlign w:val="center"/>
          </w:tcPr>
          <w:p>
            <w:pPr>
              <w:jc w:val="center"/>
              <w:rPr>
                <w:rFonts w:hint="default"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60</w:t>
            </w:r>
          </w:p>
        </w:tc>
        <w:tc>
          <w:tcPr>
            <w:tcW w:w="390" w:type="pct"/>
            <w:shd w:val="clear" w:color="000000" w:fill="DCE6F1"/>
            <w:noWrap/>
            <w:vAlign w:val="center"/>
          </w:tcPr>
          <w:p>
            <w:pPr>
              <w:jc w:val="center"/>
              <w:rPr>
                <w:rFonts w:hint="default"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80</w:t>
            </w:r>
          </w:p>
        </w:tc>
        <w:tc>
          <w:tcPr>
            <w:tcW w:w="441" w:type="pct"/>
            <w:shd w:val="clear" w:color="000000" w:fill="DCE6F1"/>
            <w:noWrap/>
            <w:vAlign w:val="center"/>
          </w:tcPr>
          <w:p>
            <w:pPr>
              <w:jc w:val="center"/>
              <w:rPr>
                <w:rFonts w:hint="default"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ACLR</w:t>
            </w:r>
          </w:p>
        </w:tc>
        <w:tc>
          <w:tcPr>
            <w:tcW w:w="425"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0.89</w:t>
            </w:r>
          </w:p>
        </w:tc>
        <w:tc>
          <w:tcPr>
            <w:tcW w:w="333" w:type="pct"/>
            <w:vMerge w:val="continue"/>
            <w:shd w:val="clear" w:color="000000" w:fill="DCE6F1"/>
            <w:noWrap/>
            <w:vAlign w:val="center"/>
          </w:tcPr>
          <w:p>
            <w:pPr>
              <w:jc w:val="center"/>
              <w:rPr>
                <w:rFonts w:hint="default" w:ascii="Calibri" w:hAnsi="Calibri" w:eastAsia="Times New Roman"/>
                <w:color w:val="auto"/>
                <w:sz w:val="16"/>
                <w:szCs w:val="16"/>
                <w:lang w:val="en-US" w:eastAsia="zh-CN"/>
              </w:rPr>
            </w:pPr>
          </w:p>
        </w:tc>
        <w:tc>
          <w:tcPr>
            <w:tcW w:w="524" w:type="pct"/>
            <w:shd w:val="clear" w:color="000000" w:fill="DCE6F1"/>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82"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0.58</w:t>
            </w:r>
          </w:p>
        </w:tc>
        <w:tc>
          <w:tcPr>
            <w:tcW w:w="480" w:type="pct"/>
            <w:shd w:val="clear" w:color="000000" w:fill="DCE6F1"/>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[0,20]</w:t>
            </w:r>
          </w:p>
        </w:tc>
        <w:tc>
          <w:tcPr>
            <w:tcW w:w="399" w:type="pct"/>
            <w:shd w:val="clear" w:color="000000" w:fill="DCE6F1"/>
            <w:noWrap/>
            <w:vAlign w:val="center"/>
          </w:tcPr>
          <w:p>
            <w:pPr>
              <w:jc w:val="center"/>
              <w:rPr>
                <w:rFonts w:hint="default"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60</w:t>
            </w:r>
          </w:p>
        </w:tc>
        <w:tc>
          <w:tcPr>
            <w:tcW w:w="390"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80</w:t>
            </w:r>
          </w:p>
        </w:tc>
        <w:tc>
          <w:tcPr>
            <w:tcW w:w="441"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ACLR</w:t>
            </w:r>
          </w:p>
        </w:tc>
        <w:tc>
          <w:tcPr>
            <w:tcW w:w="425"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0.32</w:t>
            </w:r>
          </w:p>
        </w:tc>
        <w:tc>
          <w:tcPr>
            <w:tcW w:w="333" w:type="pct"/>
            <w:vMerge w:val="continue"/>
            <w:shd w:val="clear" w:color="000000" w:fill="DCE6F1"/>
            <w:noWrap/>
            <w:vAlign w:val="center"/>
          </w:tcPr>
          <w:p>
            <w:pPr>
              <w:jc w:val="center"/>
              <w:rPr>
                <w:rFonts w:hint="default" w:ascii="Calibri" w:hAnsi="Calibri" w:eastAsia="Times New Roman"/>
                <w:color w:val="auto"/>
                <w:sz w:val="16"/>
                <w:szCs w:val="16"/>
                <w:lang w:val="en-US" w:eastAsia="zh-CN"/>
              </w:rPr>
            </w:pPr>
          </w:p>
        </w:tc>
        <w:tc>
          <w:tcPr>
            <w:tcW w:w="524" w:type="pct"/>
            <w:shd w:val="clear" w:color="000000" w:fill="DCE6F1"/>
            <w:noWrap/>
            <w:vAlign w:val="center"/>
          </w:tcPr>
          <w:p>
            <w:pPr>
              <w:jc w:val="center"/>
              <w:rPr>
                <w:rFonts w:hint="eastAsia"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82" w:type="pct"/>
            <w:shd w:val="clear" w:color="000000" w:fill="DCE6F1"/>
            <w:noWrap/>
            <w:vAlign w:val="center"/>
          </w:tcPr>
          <w:p>
            <w:pPr>
              <w:jc w:val="center"/>
              <w:rPr>
                <w:rFonts w:hint="eastAsia"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w:t>
            </w:r>
          </w:p>
        </w:tc>
        <w:tc>
          <w:tcPr>
            <w:tcW w:w="480" w:type="pct"/>
            <w:shd w:val="clear" w:color="000000" w:fill="DCE6F1"/>
            <w:noWrap/>
            <w:vAlign w:val="center"/>
          </w:tcPr>
          <w:p>
            <w:pPr>
              <w:jc w:val="center"/>
              <w:rPr>
                <w:rFonts w:hint="eastAsia"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DCE6F1"/>
            <w:noWrap/>
            <w:vAlign w:val="center"/>
          </w:tcPr>
          <w:p>
            <w:pPr>
              <w:jc w:val="center"/>
              <w:rPr>
                <w:rFonts w:hint="eastAsia"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24" w:type="pct"/>
            <w:vMerge w:val="restart"/>
            <w:shd w:val="clear" w:color="auto" w:fill="auto"/>
            <w:noWrap/>
            <w:vAlign w:val="center"/>
          </w:tcPr>
          <w:p>
            <w:pPr>
              <w:jc w:val="center"/>
              <w:rPr>
                <w:rFonts w:hint="default"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w:t>
            </w:r>
            <w:r>
              <w:rPr>
                <w:rFonts w:hint="eastAsia" w:ascii="Calibri" w:hAnsi="Calibri" w:eastAsia="Times New Roman"/>
                <w:color w:val="000000"/>
                <w:sz w:val="16"/>
                <w:szCs w:val="16"/>
                <w:lang w:val="en-US" w:eastAsia="zh-CN"/>
              </w:rPr>
              <w:t>16QAM</w:t>
            </w:r>
          </w:p>
        </w:tc>
        <w:tc>
          <w:tcPr>
            <w:tcW w:w="574"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[0,25]</w:t>
            </w:r>
          </w:p>
        </w:tc>
        <w:tc>
          <w:tcPr>
            <w:tcW w:w="399"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15</w:t>
            </w:r>
          </w:p>
        </w:tc>
        <w:tc>
          <w:tcPr>
            <w:tcW w:w="390"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5</w:t>
            </w:r>
          </w:p>
        </w:tc>
        <w:tc>
          <w:tcPr>
            <w:tcW w:w="441" w:type="pct"/>
            <w:shd w:val="clear" w:color="000000" w:fill="auto"/>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ACLR</w:t>
            </w:r>
          </w:p>
        </w:tc>
        <w:tc>
          <w:tcPr>
            <w:tcW w:w="425" w:type="pct"/>
            <w:shd w:val="clear" w:color="000000" w:fill="auto"/>
            <w:noWrap/>
            <w:vAlign w:val="center"/>
          </w:tcPr>
          <w:p>
            <w:pPr>
              <w:jc w:val="center"/>
              <w:rPr>
                <w:rFonts w:hint="default" w:ascii="Calibri" w:hAnsi="Calibri" w:eastAsia="Times New Roman" w:cs="Times New Roman"/>
                <w:b/>
                <w:bCs/>
                <w:color w:val="auto"/>
                <w:kern w:val="2"/>
                <w:sz w:val="16"/>
                <w:szCs w:val="16"/>
                <w:lang w:val="en-US" w:eastAsia="zh-CN" w:bidi="ar-SA"/>
              </w:rPr>
            </w:pPr>
            <w:r>
              <w:rPr>
                <w:rFonts w:hint="eastAsia" w:ascii="Calibri" w:hAnsi="Calibri" w:eastAsia="Times New Roman" w:cs="Times New Roman"/>
                <w:b/>
                <w:bCs/>
                <w:color w:val="auto"/>
                <w:kern w:val="2"/>
                <w:sz w:val="16"/>
                <w:szCs w:val="16"/>
                <w:lang w:val="en-US" w:eastAsia="zh-CN" w:bidi="ar-SA"/>
              </w:rPr>
              <w:t>1.48</w:t>
            </w:r>
          </w:p>
        </w:tc>
        <w:tc>
          <w:tcPr>
            <w:tcW w:w="333" w:type="pct"/>
            <w:vMerge w:val="restar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2</w:t>
            </w:r>
          </w:p>
        </w:tc>
        <w:tc>
          <w:tcPr>
            <w:tcW w:w="524"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82"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1.15</w:t>
            </w:r>
          </w:p>
        </w:tc>
        <w:tc>
          <w:tcPr>
            <w:tcW w:w="480"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ascii="Calibri" w:hAnsi="Calibri" w:eastAsia="Times New Roman"/>
                <w:color w:val="000000"/>
                <w:sz w:val="16"/>
                <w:szCs w:val="16"/>
                <w:highlight w:val="none"/>
                <w:lang w:val="en-US" w:eastAsia="zh-CN"/>
              </w:rPr>
            </w:pPr>
            <w:r>
              <w:rPr>
                <w:rFonts w:ascii="Calibri" w:hAnsi="Calibri" w:eastAsia="Times New Roman"/>
                <w:color w:val="000000"/>
                <w:sz w:val="16"/>
                <w:szCs w:val="16"/>
                <w:highlight w:val="none"/>
                <w:lang w:val="en-US" w:eastAsia="zh-CN"/>
              </w:rPr>
              <w:t xml:space="preserve"> [0,100]</w:t>
            </w:r>
          </w:p>
        </w:tc>
        <w:tc>
          <w:tcPr>
            <w:tcW w:w="399" w:type="pct"/>
            <w:shd w:val="clear" w:color="000000" w:fill="auto"/>
            <w:noWrap/>
            <w:vAlign w:val="center"/>
          </w:tcPr>
          <w:p>
            <w:pPr>
              <w:jc w:val="center"/>
              <w:rPr>
                <w:rFonts w:ascii="Calibri" w:hAnsi="Calibri" w:eastAsia="Times New Roman"/>
                <w:color w:val="000000"/>
                <w:sz w:val="16"/>
                <w:szCs w:val="16"/>
                <w:highlight w:val="none"/>
                <w:lang w:val="en-US" w:eastAsia="zh-CN"/>
              </w:rPr>
            </w:pPr>
            <w:r>
              <w:rPr>
                <w:rFonts w:ascii="Calibri" w:hAnsi="Calibri" w:eastAsia="Times New Roman"/>
                <w:color w:val="000000"/>
                <w:sz w:val="16"/>
                <w:szCs w:val="16"/>
                <w:highlight w:val="none"/>
                <w:lang w:val="en-US" w:eastAsia="zh-CN"/>
              </w:rPr>
              <w:t>15</w:t>
            </w:r>
          </w:p>
        </w:tc>
        <w:tc>
          <w:tcPr>
            <w:tcW w:w="390" w:type="pct"/>
            <w:shd w:val="clear" w:color="000000" w:fill="auto"/>
            <w:noWrap/>
            <w:vAlign w:val="center"/>
          </w:tcPr>
          <w:p>
            <w:pPr>
              <w:jc w:val="center"/>
              <w:rPr>
                <w:rFonts w:ascii="Calibri" w:hAnsi="Calibri" w:eastAsia="Times New Roman"/>
                <w:color w:val="000000"/>
                <w:sz w:val="16"/>
                <w:szCs w:val="16"/>
                <w:highlight w:val="none"/>
                <w:lang w:val="en-US" w:eastAsia="zh-CN"/>
              </w:rPr>
            </w:pPr>
            <w:r>
              <w:rPr>
                <w:rFonts w:ascii="Calibri" w:hAnsi="Calibri" w:eastAsia="Times New Roman"/>
                <w:color w:val="000000"/>
                <w:sz w:val="16"/>
                <w:szCs w:val="16"/>
                <w:highlight w:val="none"/>
                <w:lang w:val="en-US" w:eastAsia="zh-CN"/>
              </w:rPr>
              <w:t>20</w:t>
            </w:r>
          </w:p>
        </w:tc>
        <w:tc>
          <w:tcPr>
            <w:tcW w:w="441" w:type="pct"/>
            <w:shd w:val="clear" w:color="000000" w:fill="auto"/>
            <w:noWrap/>
            <w:vAlign w:val="center"/>
          </w:tcPr>
          <w:p>
            <w:pPr>
              <w:jc w:val="center"/>
              <w:rPr>
                <w:rFonts w:hint="default" w:ascii="Calibri" w:hAnsi="Calibri" w:eastAsia="Times New Roman"/>
                <w:color w:val="000000"/>
                <w:sz w:val="16"/>
                <w:szCs w:val="16"/>
                <w:highlight w:val="none"/>
                <w:lang w:val="en-US" w:eastAsia="zh-CN"/>
              </w:rPr>
            </w:pPr>
            <w:r>
              <w:rPr>
                <w:rFonts w:hint="eastAsia" w:ascii="Calibri" w:hAnsi="Calibri" w:eastAsia="Times New Roman"/>
                <w:color w:val="000000"/>
                <w:sz w:val="16"/>
                <w:szCs w:val="16"/>
                <w:highlight w:val="none"/>
                <w:lang w:val="en-US" w:eastAsia="zh-CN"/>
              </w:rPr>
              <w:t>ACLR</w:t>
            </w:r>
          </w:p>
        </w:tc>
        <w:tc>
          <w:tcPr>
            <w:tcW w:w="425" w:type="pct"/>
            <w:shd w:val="clear" w:color="000000" w:fill="auto"/>
            <w:noWrap/>
            <w:vAlign w:val="center"/>
          </w:tcPr>
          <w:p>
            <w:pPr>
              <w:jc w:val="center"/>
              <w:rPr>
                <w:rFonts w:hint="default" w:ascii="Calibri" w:hAnsi="Calibri" w:eastAsia="Times New Roman" w:cs="Times New Roman"/>
                <w:b/>
                <w:bCs/>
                <w:color w:val="auto"/>
                <w:kern w:val="2"/>
                <w:sz w:val="16"/>
                <w:szCs w:val="16"/>
                <w:highlight w:val="none"/>
                <w:lang w:val="en-US" w:eastAsia="zh-CN" w:bidi="ar-SA"/>
              </w:rPr>
            </w:pPr>
            <w:r>
              <w:rPr>
                <w:rFonts w:hint="eastAsia" w:ascii="Calibri" w:hAnsi="Calibri" w:eastAsia="Times New Roman" w:cs="Times New Roman"/>
                <w:b/>
                <w:bCs/>
                <w:color w:val="auto"/>
                <w:kern w:val="2"/>
                <w:sz w:val="16"/>
                <w:szCs w:val="16"/>
                <w:highlight w:val="none"/>
                <w:lang w:val="en-US" w:eastAsia="zh-CN" w:bidi="ar-SA"/>
              </w:rPr>
              <w:t>1.52</w:t>
            </w:r>
          </w:p>
        </w:tc>
        <w:tc>
          <w:tcPr>
            <w:tcW w:w="333" w:type="pct"/>
            <w:vMerge w:val="continue"/>
            <w:shd w:val="clear" w:color="000000" w:fill="auto"/>
            <w:noWrap/>
            <w:vAlign w:val="center"/>
          </w:tcPr>
          <w:p>
            <w:pPr>
              <w:jc w:val="center"/>
              <w:rPr>
                <w:rFonts w:hint="eastAsia" w:ascii="Calibri" w:hAnsi="Calibri" w:eastAsia="Times New Roman"/>
                <w:color w:val="auto"/>
                <w:sz w:val="16"/>
                <w:szCs w:val="16"/>
                <w:lang w:val="en-US" w:eastAsia="zh-CN"/>
              </w:rPr>
            </w:pPr>
          </w:p>
        </w:tc>
        <w:tc>
          <w:tcPr>
            <w:tcW w:w="524"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82"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1.2</w:t>
            </w:r>
          </w:p>
        </w:tc>
        <w:tc>
          <w:tcPr>
            <w:tcW w:w="480"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[0,270]</w:t>
            </w:r>
          </w:p>
        </w:tc>
        <w:tc>
          <w:tcPr>
            <w:tcW w:w="399"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15</w:t>
            </w:r>
          </w:p>
        </w:tc>
        <w:tc>
          <w:tcPr>
            <w:tcW w:w="390"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50</w:t>
            </w:r>
          </w:p>
        </w:tc>
        <w:tc>
          <w:tcPr>
            <w:tcW w:w="441" w:type="pct"/>
            <w:shd w:val="clear" w:color="000000" w:fill="auto"/>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ACLR</w:t>
            </w:r>
          </w:p>
        </w:tc>
        <w:tc>
          <w:tcPr>
            <w:tcW w:w="425" w:type="pct"/>
            <w:shd w:val="clear" w:color="000000" w:fill="auto"/>
            <w:noWrap/>
            <w:vAlign w:val="center"/>
          </w:tcPr>
          <w:p>
            <w:pPr>
              <w:jc w:val="center"/>
              <w:rPr>
                <w:rFonts w:hint="default" w:ascii="Calibri" w:hAnsi="Calibri" w:eastAsia="Times New Roman" w:cs="Times New Roman"/>
                <w:b/>
                <w:bCs/>
                <w:color w:val="auto"/>
                <w:kern w:val="2"/>
                <w:sz w:val="16"/>
                <w:szCs w:val="16"/>
                <w:lang w:val="en-US" w:eastAsia="zh-CN" w:bidi="ar-SA"/>
              </w:rPr>
            </w:pPr>
            <w:r>
              <w:rPr>
                <w:rFonts w:hint="eastAsia" w:ascii="Calibri" w:hAnsi="Calibri" w:eastAsia="Times New Roman" w:cs="Times New Roman"/>
                <w:b/>
                <w:bCs/>
                <w:color w:val="auto"/>
                <w:kern w:val="2"/>
                <w:sz w:val="16"/>
                <w:szCs w:val="16"/>
                <w:lang w:val="en-US" w:eastAsia="zh-CN" w:bidi="ar-SA"/>
              </w:rPr>
              <w:t>1.7</w:t>
            </w:r>
          </w:p>
        </w:tc>
        <w:tc>
          <w:tcPr>
            <w:tcW w:w="333" w:type="pct"/>
            <w:vMerge w:val="continue"/>
            <w:shd w:val="clear" w:color="000000" w:fill="auto"/>
            <w:noWrap/>
            <w:vAlign w:val="center"/>
          </w:tcPr>
          <w:p>
            <w:pPr>
              <w:jc w:val="center"/>
              <w:rPr>
                <w:rFonts w:hint="eastAsia" w:ascii="Calibri" w:hAnsi="Calibri" w:eastAsia="Times New Roman"/>
                <w:color w:val="auto"/>
                <w:sz w:val="16"/>
                <w:szCs w:val="16"/>
                <w:lang w:val="en-US" w:eastAsia="zh-CN"/>
              </w:rPr>
            </w:pPr>
          </w:p>
        </w:tc>
        <w:tc>
          <w:tcPr>
            <w:tcW w:w="524"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82"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1.35</w:t>
            </w:r>
          </w:p>
        </w:tc>
        <w:tc>
          <w:tcPr>
            <w:tcW w:w="480"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[0,128]</w:t>
            </w:r>
          </w:p>
        </w:tc>
        <w:tc>
          <w:tcPr>
            <w:tcW w:w="399"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30</w:t>
            </w:r>
          </w:p>
        </w:tc>
        <w:tc>
          <w:tcPr>
            <w:tcW w:w="390"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50</w:t>
            </w:r>
          </w:p>
        </w:tc>
        <w:tc>
          <w:tcPr>
            <w:tcW w:w="441" w:type="pct"/>
            <w:shd w:val="clear" w:color="000000" w:fill="auto"/>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ACLR</w:t>
            </w:r>
          </w:p>
        </w:tc>
        <w:tc>
          <w:tcPr>
            <w:tcW w:w="425" w:type="pct"/>
            <w:shd w:val="clear" w:color="000000" w:fill="auto"/>
            <w:noWrap/>
            <w:vAlign w:val="center"/>
          </w:tcPr>
          <w:p>
            <w:pPr>
              <w:jc w:val="center"/>
              <w:rPr>
                <w:rFonts w:hint="default" w:ascii="Calibri" w:hAnsi="Calibri" w:eastAsia="Times New Roman" w:cs="Times New Roman"/>
                <w:b/>
                <w:bCs/>
                <w:color w:val="auto"/>
                <w:kern w:val="2"/>
                <w:sz w:val="16"/>
                <w:szCs w:val="16"/>
                <w:lang w:val="en-US" w:eastAsia="zh-CN" w:bidi="ar-SA"/>
              </w:rPr>
            </w:pPr>
            <w:r>
              <w:rPr>
                <w:rFonts w:hint="eastAsia" w:ascii="Calibri" w:hAnsi="Calibri" w:eastAsia="Times New Roman" w:cs="Times New Roman"/>
                <w:b/>
                <w:bCs/>
                <w:color w:val="auto"/>
                <w:kern w:val="2"/>
                <w:sz w:val="16"/>
                <w:szCs w:val="16"/>
                <w:lang w:val="en-US" w:eastAsia="zh-CN" w:bidi="ar-SA"/>
              </w:rPr>
              <w:t>1.6</w:t>
            </w:r>
          </w:p>
        </w:tc>
        <w:tc>
          <w:tcPr>
            <w:tcW w:w="333" w:type="pct"/>
            <w:vMerge w:val="continue"/>
            <w:shd w:val="clear" w:color="000000" w:fill="auto"/>
            <w:noWrap/>
            <w:vAlign w:val="center"/>
          </w:tcPr>
          <w:p>
            <w:pPr>
              <w:jc w:val="center"/>
              <w:rPr>
                <w:rFonts w:hint="eastAsia" w:ascii="Calibri" w:hAnsi="Calibri" w:eastAsia="Times New Roman"/>
                <w:color w:val="auto"/>
                <w:sz w:val="16"/>
                <w:szCs w:val="16"/>
                <w:lang w:val="en-US" w:eastAsia="zh-CN"/>
              </w:rPr>
            </w:pPr>
          </w:p>
        </w:tc>
        <w:tc>
          <w:tcPr>
            <w:tcW w:w="524"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82"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1.27</w:t>
            </w:r>
          </w:p>
        </w:tc>
        <w:tc>
          <w:tcPr>
            <w:tcW w:w="480"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[0,270]</w:t>
            </w:r>
          </w:p>
        </w:tc>
        <w:tc>
          <w:tcPr>
            <w:tcW w:w="399"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30</w:t>
            </w:r>
          </w:p>
        </w:tc>
        <w:tc>
          <w:tcPr>
            <w:tcW w:w="390"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100</w:t>
            </w:r>
          </w:p>
        </w:tc>
        <w:tc>
          <w:tcPr>
            <w:tcW w:w="441" w:type="pct"/>
            <w:shd w:val="clear" w:color="000000" w:fill="auto"/>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ACLR</w:t>
            </w:r>
          </w:p>
        </w:tc>
        <w:tc>
          <w:tcPr>
            <w:tcW w:w="425" w:type="pct"/>
            <w:shd w:val="clear" w:color="000000" w:fill="auto"/>
            <w:noWrap/>
            <w:vAlign w:val="center"/>
          </w:tcPr>
          <w:p>
            <w:pPr>
              <w:jc w:val="center"/>
              <w:rPr>
                <w:rFonts w:hint="default" w:ascii="Calibri" w:hAnsi="Calibri" w:eastAsia="Times New Roman" w:cs="Times New Roman"/>
                <w:b/>
                <w:bCs/>
                <w:color w:val="auto"/>
                <w:kern w:val="2"/>
                <w:sz w:val="16"/>
                <w:szCs w:val="16"/>
                <w:lang w:val="en-US" w:eastAsia="zh-CN" w:bidi="ar-SA"/>
              </w:rPr>
            </w:pPr>
            <w:r>
              <w:rPr>
                <w:rFonts w:hint="eastAsia" w:ascii="Calibri" w:hAnsi="Calibri" w:eastAsia="Times New Roman" w:cs="Times New Roman"/>
                <w:b/>
                <w:bCs/>
                <w:color w:val="auto"/>
                <w:kern w:val="2"/>
                <w:sz w:val="16"/>
                <w:szCs w:val="16"/>
                <w:lang w:val="en-US" w:eastAsia="zh-CN" w:bidi="ar-SA"/>
              </w:rPr>
              <w:t>1.7</w:t>
            </w:r>
          </w:p>
        </w:tc>
        <w:tc>
          <w:tcPr>
            <w:tcW w:w="333" w:type="pct"/>
            <w:vMerge w:val="continue"/>
            <w:shd w:val="clear" w:color="000000" w:fill="auto"/>
            <w:noWrap/>
            <w:vAlign w:val="center"/>
          </w:tcPr>
          <w:p>
            <w:pPr>
              <w:jc w:val="center"/>
              <w:rPr>
                <w:rFonts w:hint="eastAsia" w:ascii="Calibri" w:hAnsi="Calibri" w:eastAsia="Times New Roman"/>
                <w:color w:val="auto"/>
                <w:sz w:val="16"/>
                <w:szCs w:val="16"/>
                <w:lang w:val="en-US" w:eastAsia="zh-CN"/>
              </w:rPr>
            </w:pPr>
          </w:p>
        </w:tc>
        <w:tc>
          <w:tcPr>
            <w:tcW w:w="524"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82"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1.36</w:t>
            </w:r>
          </w:p>
        </w:tc>
        <w:tc>
          <w:tcPr>
            <w:tcW w:w="480"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[0,18]</w:t>
            </w:r>
          </w:p>
        </w:tc>
        <w:tc>
          <w:tcPr>
            <w:tcW w:w="399"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60</w:t>
            </w:r>
          </w:p>
        </w:tc>
        <w:tc>
          <w:tcPr>
            <w:tcW w:w="390"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15</w:t>
            </w:r>
          </w:p>
        </w:tc>
        <w:tc>
          <w:tcPr>
            <w:tcW w:w="441" w:type="pct"/>
            <w:shd w:val="clear" w:color="000000" w:fill="auto"/>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ACLR</w:t>
            </w:r>
          </w:p>
        </w:tc>
        <w:tc>
          <w:tcPr>
            <w:tcW w:w="425" w:type="pct"/>
            <w:shd w:val="clear" w:color="000000" w:fill="auto"/>
            <w:noWrap/>
            <w:vAlign w:val="center"/>
          </w:tcPr>
          <w:p>
            <w:pPr>
              <w:jc w:val="center"/>
              <w:rPr>
                <w:rFonts w:hint="default" w:ascii="Calibri" w:hAnsi="Calibri" w:eastAsia="Times New Roman" w:cs="Times New Roman"/>
                <w:b/>
                <w:bCs/>
                <w:color w:val="auto"/>
                <w:kern w:val="2"/>
                <w:sz w:val="16"/>
                <w:szCs w:val="16"/>
                <w:lang w:val="en-US" w:eastAsia="zh-CN" w:bidi="ar-SA"/>
              </w:rPr>
            </w:pPr>
            <w:r>
              <w:rPr>
                <w:rFonts w:hint="eastAsia" w:ascii="Calibri" w:hAnsi="Calibri" w:eastAsia="Times New Roman" w:cs="Times New Roman"/>
                <w:b/>
                <w:bCs/>
                <w:color w:val="auto"/>
                <w:kern w:val="2"/>
                <w:sz w:val="16"/>
                <w:szCs w:val="16"/>
                <w:lang w:val="en-US" w:eastAsia="zh-CN" w:bidi="ar-SA"/>
              </w:rPr>
              <w:t>1.52</w:t>
            </w:r>
          </w:p>
        </w:tc>
        <w:tc>
          <w:tcPr>
            <w:tcW w:w="333" w:type="pct"/>
            <w:vMerge w:val="continue"/>
            <w:shd w:val="clear" w:color="000000" w:fill="auto"/>
            <w:noWrap/>
            <w:vAlign w:val="center"/>
          </w:tcPr>
          <w:p>
            <w:pPr>
              <w:jc w:val="center"/>
              <w:rPr>
                <w:rFonts w:hint="eastAsia" w:ascii="Calibri" w:hAnsi="Calibri" w:eastAsia="Times New Roman"/>
                <w:color w:val="auto"/>
                <w:sz w:val="16"/>
                <w:szCs w:val="16"/>
                <w:lang w:val="en-US" w:eastAsia="zh-CN"/>
              </w:rPr>
            </w:pPr>
          </w:p>
        </w:tc>
        <w:tc>
          <w:tcPr>
            <w:tcW w:w="524"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82"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1.2</w:t>
            </w:r>
          </w:p>
        </w:tc>
        <w:tc>
          <w:tcPr>
            <w:tcW w:w="480"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[0,100]</w:t>
            </w:r>
          </w:p>
        </w:tc>
        <w:tc>
          <w:tcPr>
            <w:tcW w:w="399"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60</w:t>
            </w:r>
          </w:p>
        </w:tc>
        <w:tc>
          <w:tcPr>
            <w:tcW w:w="390"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80</w:t>
            </w:r>
          </w:p>
        </w:tc>
        <w:tc>
          <w:tcPr>
            <w:tcW w:w="441" w:type="pct"/>
            <w:shd w:val="clear" w:color="000000" w:fill="auto"/>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ACLR</w:t>
            </w:r>
          </w:p>
        </w:tc>
        <w:tc>
          <w:tcPr>
            <w:tcW w:w="425" w:type="pct"/>
            <w:shd w:val="clear" w:color="000000" w:fill="auto"/>
            <w:noWrap/>
            <w:vAlign w:val="center"/>
          </w:tcPr>
          <w:p>
            <w:pPr>
              <w:jc w:val="center"/>
              <w:rPr>
                <w:rFonts w:hint="default" w:ascii="Calibri" w:hAnsi="Calibri" w:eastAsia="Times New Roman" w:cs="Times New Roman"/>
                <w:b/>
                <w:bCs/>
                <w:color w:val="auto"/>
                <w:kern w:val="2"/>
                <w:sz w:val="16"/>
                <w:szCs w:val="16"/>
                <w:lang w:val="en-US" w:eastAsia="zh-CN" w:bidi="ar-SA"/>
              </w:rPr>
            </w:pPr>
            <w:r>
              <w:rPr>
                <w:rFonts w:hint="eastAsia" w:ascii="Calibri" w:hAnsi="Calibri" w:eastAsia="Times New Roman"/>
                <w:b/>
                <w:bCs/>
                <w:color w:val="auto"/>
                <w:sz w:val="16"/>
                <w:szCs w:val="16"/>
                <w:lang w:val="en-US" w:eastAsia="zh-CN"/>
              </w:rPr>
              <w:t>1.56</w:t>
            </w:r>
          </w:p>
        </w:tc>
        <w:tc>
          <w:tcPr>
            <w:tcW w:w="333" w:type="pct"/>
            <w:vMerge w:val="continue"/>
            <w:shd w:val="clear" w:color="000000" w:fill="auto"/>
            <w:noWrap/>
            <w:vAlign w:val="center"/>
          </w:tcPr>
          <w:p>
            <w:pPr>
              <w:jc w:val="center"/>
              <w:rPr>
                <w:rFonts w:hint="eastAsia" w:ascii="Calibri" w:hAnsi="Calibri" w:eastAsia="Times New Roman"/>
                <w:color w:val="auto"/>
                <w:sz w:val="16"/>
                <w:szCs w:val="16"/>
                <w:lang w:val="en-US" w:eastAsia="zh-CN"/>
              </w:rPr>
            </w:pPr>
          </w:p>
        </w:tc>
        <w:tc>
          <w:tcPr>
            <w:tcW w:w="524"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82"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1.27</w:t>
            </w:r>
          </w:p>
        </w:tc>
        <w:tc>
          <w:tcPr>
            <w:tcW w:w="480"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DCE6F1"/>
            <w:noWrap/>
            <w:vAlign w:val="center"/>
          </w:tcPr>
          <w:p>
            <w:pPr>
              <w:jc w:val="center"/>
              <w:rPr>
                <w:rFonts w:hint="default"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[0,50]</w:t>
            </w:r>
          </w:p>
        </w:tc>
        <w:tc>
          <w:tcPr>
            <w:tcW w:w="399" w:type="pct"/>
            <w:shd w:val="clear" w:color="000000" w:fill="DCE6F1"/>
            <w:noWrap/>
            <w:vAlign w:val="center"/>
          </w:tcPr>
          <w:p>
            <w:pPr>
              <w:jc w:val="center"/>
              <w:rPr>
                <w:rFonts w:hint="default"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15</w:t>
            </w:r>
          </w:p>
        </w:tc>
        <w:tc>
          <w:tcPr>
            <w:tcW w:w="390" w:type="pct"/>
            <w:shd w:val="clear" w:color="000000" w:fill="DCE6F1"/>
            <w:noWrap/>
            <w:vAlign w:val="center"/>
          </w:tcPr>
          <w:p>
            <w:pPr>
              <w:jc w:val="center"/>
              <w:rPr>
                <w:rFonts w:hint="default"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20</w:t>
            </w:r>
          </w:p>
        </w:tc>
        <w:tc>
          <w:tcPr>
            <w:tcW w:w="441" w:type="pct"/>
            <w:shd w:val="clear" w:color="000000" w:fill="DCE6F1"/>
            <w:noWrap/>
            <w:vAlign w:val="center"/>
          </w:tcPr>
          <w:p>
            <w:pPr>
              <w:jc w:val="center"/>
              <w:rPr>
                <w:rFonts w:hint="default"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ACLR</w:t>
            </w:r>
          </w:p>
        </w:tc>
        <w:tc>
          <w:tcPr>
            <w:tcW w:w="425"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1.36</w:t>
            </w:r>
          </w:p>
        </w:tc>
        <w:tc>
          <w:tcPr>
            <w:tcW w:w="333" w:type="pct"/>
            <w:vMerge w:val="continue"/>
            <w:shd w:val="clear" w:color="000000" w:fill="DCE6F1"/>
            <w:noWrap/>
            <w:vAlign w:val="center"/>
          </w:tcPr>
          <w:p>
            <w:pPr>
              <w:jc w:val="center"/>
              <w:rPr>
                <w:rFonts w:hint="default" w:ascii="Calibri" w:hAnsi="Calibri" w:eastAsia="Times New Roman"/>
                <w:color w:val="auto"/>
                <w:sz w:val="16"/>
                <w:szCs w:val="16"/>
                <w:lang w:val="en-US" w:eastAsia="zh-CN"/>
              </w:rPr>
            </w:pPr>
          </w:p>
        </w:tc>
        <w:tc>
          <w:tcPr>
            <w:tcW w:w="524" w:type="pct"/>
            <w:shd w:val="clear" w:color="000000" w:fill="DCE6F1"/>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82"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1.07</w:t>
            </w:r>
          </w:p>
        </w:tc>
        <w:tc>
          <w:tcPr>
            <w:tcW w:w="480" w:type="pct"/>
            <w:shd w:val="clear" w:color="000000" w:fill="DCE6F1"/>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[0,20]</w:t>
            </w:r>
          </w:p>
        </w:tc>
        <w:tc>
          <w:tcPr>
            <w:tcW w:w="399" w:type="pct"/>
            <w:shd w:val="clear" w:color="000000" w:fill="DCE6F1"/>
            <w:noWrap/>
            <w:vAlign w:val="center"/>
          </w:tcPr>
          <w:p>
            <w:pPr>
              <w:jc w:val="center"/>
              <w:rPr>
                <w:rFonts w:hint="default"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15</w:t>
            </w:r>
          </w:p>
        </w:tc>
        <w:tc>
          <w:tcPr>
            <w:tcW w:w="390" w:type="pct"/>
            <w:shd w:val="clear" w:color="000000" w:fill="DCE6F1"/>
            <w:noWrap/>
            <w:vAlign w:val="center"/>
          </w:tcPr>
          <w:p>
            <w:pPr>
              <w:jc w:val="center"/>
              <w:rPr>
                <w:rFonts w:hint="default"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20</w:t>
            </w:r>
          </w:p>
        </w:tc>
        <w:tc>
          <w:tcPr>
            <w:tcW w:w="441"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ACLR</w:t>
            </w:r>
          </w:p>
        </w:tc>
        <w:tc>
          <w:tcPr>
            <w:tcW w:w="425"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0.63</w:t>
            </w:r>
          </w:p>
        </w:tc>
        <w:tc>
          <w:tcPr>
            <w:tcW w:w="333" w:type="pct"/>
            <w:vMerge w:val="continue"/>
            <w:shd w:val="clear" w:color="000000" w:fill="DCE6F1"/>
            <w:noWrap/>
            <w:vAlign w:val="center"/>
          </w:tcPr>
          <w:p>
            <w:pPr>
              <w:jc w:val="center"/>
              <w:rPr>
                <w:rFonts w:hint="default" w:ascii="Calibri" w:hAnsi="Calibri" w:eastAsia="Times New Roman"/>
                <w:color w:val="auto"/>
                <w:sz w:val="16"/>
                <w:szCs w:val="16"/>
                <w:lang w:val="en-US" w:eastAsia="zh-CN"/>
              </w:rPr>
            </w:pPr>
          </w:p>
        </w:tc>
        <w:tc>
          <w:tcPr>
            <w:tcW w:w="524" w:type="pct"/>
            <w:shd w:val="clear" w:color="000000" w:fill="DCE6F1"/>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FF0000"/>
                <w:sz w:val="16"/>
                <w:szCs w:val="16"/>
                <w:lang w:val="en-US" w:eastAsia="zh-CN"/>
              </w:rPr>
              <w:t>EVM</w:t>
            </w:r>
          </w:p>
        </w:tc>
        <w:tc>
          <w:tcPr>
            <w:tcW w:w="382"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0.5</w:t>
            </w:r>
          </w:p>
        </w:tc>
        <w:tc>
          <w:tcPr>
            <w:tcW w:w="480" w:type="pct"/>
            <w:shd w:val="clear" w:color="000000" w:fill="DCE6F1"/>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FF0000"/>
                <w:sz w:val="16"/>
                <w:szCs w:val="16"/>
                <w:lang w:val="en-US" w:eastAsia="zh-CN"/>
              </w:rPr>
              <w:t>EVM</w:t>
            </w:r>
          </w:p>
        </w:tc>
        <w:tc>
          <w:tcPr>
            <w:tcW w:w="421"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[0,50]</w:t>
            </w:r>
          </w:p>
        </w:tc>
        <w:tc>
          <w:tcPr>
            <w:tcW w:w="399" w:type="pct"/>
            <w:shd w:val="clear" w:color="000000" w:fill="DCE6F1"/>
            <w:noWrap/>
            <w:vAlign w:val="center"/>
          </w:tcPr>
          <w:p>
            <w:pPr>
              <w:jc w:val="center"/>
              <w:rPr>
                <w:rFonts w:hint="default"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30</w:t>
            </w:r>
          </w:p>
        </w:tc>
        <w:tc>
          <w:tcPr>
            <w:tcW w:w="390"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50</w:t>
            </w:r>
          </w:p>
        </w:tc>
        <w:tc>
          <w:tcPr>
            <w:tcW w:w="441"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ACLR</w:t>
            </w:r>
          </w:p>
        </w:tc>
        <w:tc>
          <w:tcPr>
            <w:tcW w:w="425"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1.5</w:t>
            </w:r>
          </w:p>
        </w:tc>
        <w:tc>
          <w:tcPr>
            <w:tcW w:w="333" w:type="pct"/>
            <w:vMerge w:val="continue"/>
            <w:shd w:val="clear" w:color="000000" w:fill="DCE6F1"/>
            <w:noWrap/>
            <w:vAlign w:val="center"/>
          </w:tcPr>
          <w:p>
            <w:pPr>
              <w:jc w:val="center"/>
              <w:rPr>
                <w:rFonts w:hint="default" w:ascii="Calibri" w:hAnsi="Calibri" w:eastAsia="Times New Roman"/>
                <w:color w:val="auto"/>
                <w:sz w:val="16"/>
                <w:szCs w:val="16"/>
                <w:lang w:val="en-US" w:eastAsia="zh-CN"/>
              </w:rPr>
            </w:pPr>
          </w:p>
        </w:tc>
        <w:tc>
          <w:tcPr>
            <w:tcW w:w="524" w:type="pct"/>
            <w:shd w:val="clear" w:color="000000" w:fill="DCE6F1"/>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82"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1.15</w:t>
            </w:r>
          </w:p>
        </w:tc>
        <w:tc>
          <w:tcPr>
            <w:tcW w:w="480" w:type="pct"/>
            <w:shd w:val="clear" w:color="000000" w:fill="DCE6F1"/>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DCE6F1"/>
            <w:noWrap/>
            <w:vAlign w:val="center"/>
          </w:tcPr>
          <w:p>
            <w:pPr>
              <w:jc w:val="center"/>
              <w:rPr>
                <w:rFonts w:hint="eastAsia"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[0,20]</w:t>
            </w:r>
          </w:p>
        </w:tc>
        <w:tc>
          <w:tcPr>
            <w:tcW w:w="399"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30</w:t>
            </w:r>
          </w:p>
        </w:tc>
        <w:tc>
          <w:tcPr>
            <w:tcW w:w="390"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50</w:t>
            </w:r>
          </w:p>
        </w:tc>
        <w:tc>
          <w:tcPr>
            <w:tcW w:w="441"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ACLR</w:t>
            </w:r>
          </w:p>
        </w:tc>
        <w:tc>
          <w:tcPr>
            <w:tcW w:w="425"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0.81</w:t>
            </w:r>
          </w:p>
        </w:tc>
        <w:tc>
          <w:tcPr>
            <w:tcW w:w="333" w:type="pct"/>
            <w:vMerge w:val="continue"/>
            <w:shd w:val="clear" w:color="000000" w:fill="DCE6F1"/>
            <w:noWrap/>
            <w:vAlign w:val="center"/>
          </w:tcPr>
          <w:p>
            <w:pPr>
              <w:jc w:val="center"/>
              <w:rPr>
                <w:rFonts w:hint="default" w:ascii="Calibri" w:hAnsi="Calibri" w:eastAsia="Times New Roman"/>
                <w:color w:val="auto"/>
                <w:sz w:val="16"/>
                <w:szCs w:val="16"/>
                <w:lang w:val="en-US" w:eastAsia="zh-CN"/>
              </w:rPr>
            </w:pPr>
          </w:p>
        </w:tc>
        <w:tc>
          <w:tcPr>
            <w:tcW w:w="524" w:type="pct"/>
            <w:shd w:val="clear" w:color="000000" w:fill="DCE6F1"/>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82"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0.52</w:t>
            </w:r>
          </w:p>
        </w:tc>
        <w:tc>
          <w:tcPr>
            <w:tcW w:w="480" w:type="pct"/>
            <w:shd w:val="clear" w:color="000000" w:fill="DCE6F1"/>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FF0000"/>
                <w:sz w:val="16"/>
                <w:szCs w:val="16"/>
                <w:lang w:val="en-US" w:eastAsia="zh-CN"/>
              </w:rPr>
              <w:t>EVM</w:t>
            </w:r>
          </w:p>
        </w:tc>
        <w:tc>
          <w:tcPr>
            <w:tcW w:w="421"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DCE6F1"/>
            <w:noWrap/>
            <w:vAlign w:val="center"/>
          </w:tcPr>
          <w:p>
            <w:pPr>
              <w:jc w:val="center"/>
              <w:rPr>
                <w:rFonts w:hint="eastAsia"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[0,50]</w:t>
            </w:r>
          </w:p>
        </w:tc>
        <w:tc>
          <w:tcPr>
            <w:tcW w:w="399"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60</w:t>
            </w:r>
          </w:p>
        </w:tc>
        <w:tc>
          <w:tcPr>
            <w:tcW w:w="390"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80</w:t>
            </w:r>
          </w:p>
        </w:tc>
        <w:tc>
          <w:tcPr>
            <w:tcW w:w="441"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ACLR</w:t>
            </w:r>
          </w:p>
        </w:tc>
        <w:tc>
          <w:tcPr>
            <w:tcW w:w="425"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1.48</w:t>
            </w:r>
          </w:p>
        </w:tc>
        <w:tc>
          <w:tcPr>
            <w:tcW w:w="333" w:type="pct"/>
            <w:vMerge w:val="continue"/>
            <w:shd w:val="clear" w:color="000000" w:fill="DCE6F1"/>
            <w:noWrap/>
            <w:vAlign w:val="center"/>
          </w:tcPr>
          <w:p>
            <w:pPr>
              <w:jc w:val="center"/>
              <w:rPr>
                <w:rFonts w:hint="default" w:ascii="Calibri" w:hAnsi="Calibri" w:eastAsia="Times New Roman"/>
                <w:color w:val="auto"/>
                <w:sz w:val="16"/>
                <w:szCs w:val="16"/>
                <w:lang w:val="en-US" w:eastAsia="zh-CN"/>
              </w:rPr>
            </w:pPr>
          </w:p>
        </w:tc>
        <w:tc>
          <w:tcPr>
            <w:tcW w:w="524" w:type="pct"/>
            <w:shd w:val="clear" w:color="000000" w:fill="DCE6F1"/>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82"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1.15</w:t>
            </w:r>
          </w:p>
        </w:tc>
        <w:tc>
          <w:tcPr>
            <w:tcW w:w="480" w:type="pct"/>
            <w:shd w:val="clear" w:color="000000" w:fill="DCE6F1"/>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DCE6F1"/>
            <w:noWrap/>
            <w:vAlign w:val="center"/>
          </w:tcPr>
          <w:p>
            <w:pPr>
              <w:jc w:val="center"/>
              <w:rPr>
                <w:rFonts w:hint="eastAsia"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[0,20]</w:t>
            </w:r>
          </w:p>
        </w:tc>
        <w:tc>
          <w:tcPr>
            <w:tcW w:w="399"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60</w:t>
            </w:r>
          </w:p>
        </w:tc>
        <w:tc>
          <w:tcPr>
            <w:tcW w:w="390"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80</w:t>
            </w:r>
          </w:p>
        </w:tc>
        <w:tc>
          <w:tcPr>
            <w:tcW w:w="441"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ACLR</w:t>
            </w:r>
          </w:p>
        </w:tc>
        <w:tc>
          <w:tcPr>
            <w:tcW w:w="425"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0.92</w:t>
            </w:r>
          </w:p>
        </w:tc>
        <w:tc>
          <w:tcPr>
            <w:tcW w:w="333" w:type="pct"/>
            <w:vMerge w:val="continue"/>
            <w:shd w:val="clear" w:color="000000" w:fill="DCE6F1"/>
            <w:noWrap/>
            <w:vAlign w:val="center"/>
          </w:tcPr>
          <w:p>
            <w:pPr>
              <w:jc w:val="center"/>
              <w:rPr>
                <w:rFonts w:hint="default" w:ascii="Calibri" w:hAnsi="Calibri" w:eastAsia="Times New Roman"/>
                <w:color w:val="auto"/>
                <w:sz w:val="16"/>
                <w:szCs w:val="16"/>
                <w:lang w:val="en-US" w:eastAsia="zh-CN"/>
              </w:rPr>
            </w:pPr>
          </w:p>
        </w:tc>
        <w:tc>
          <w:tcPr>
            <w:tcW w:w="524" w:type="pct"/>
            <w:shd w:val="clear" w:color="000000" w:fill="DCE6F1"/>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82"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0.59</w:t>
            </w:r>
          </w:p>
        </w:tc>
        <w:tc>
          <w:tcPr>
            <w:tcW w:w="480" w:type="pct"/>
            <w:shd w:val="clear" w:color="000000" w:fill="DCE6F1"/>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FF0000"/>
                <w:sz w:val="16"/>
                <w:szCs w:val="16"/>
                <w:lang w:val="en-US" w:eastAsia="zh-CN"/>
              </w:rPr>
              <w:t>EVM</w:t>
            </w:r>
          </w:p>
        </w:tc>
        <w:tc>
          <w:tcPr>
            <w:tcW w:w="421"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0.49</w:t>
            </w:r>
          </w:p>
        </w:tc>
      </w:tr>
    </w:tbl>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left"/>
        <w:textAlignment w:val="auto"/>
        <w:rPr>
          <w:rFonts w:hint="eastAsia"/>
          <w:sz w:val="20"/>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left"/>
        <w:textAlignment w:val="auto"/>
        <w:rPr>
          <w:rFonts w:hint="eastAsia"/>
          <w:sz w:val="20"/>
          <w:lang w:val="en-US" w:eastAsia="zh-CN"/>
        </w:rPr>
      </w:pPr>
      <w:r>
        <w:rPr>
          <w:rFonts w:hint="eastAsia"/>
          <w:sz w:val="20"/>
          <w:lang w:val="en-US" w:eastAsia="zh-CN"/>
        </w:rPr>
        <w:t xml:space="preserve"> </w:t>
      </w: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eastAsia"/>
          <w:b/>
          <w:bCs/>
          <w:sz w:val="20"/>
          <w:szCs w:val="18"/>
        </w:rPr>
      </w:pPr>
      <w:r>
        <w:rPr>
          <w:rFonts w:hint="eastAsia"/>
          <w:b/>
          <w:bCs/>
          <w:sz w:val="20"/>
          <w:szCs w:val="18"/>
        </w:rPr>
        <w:t>Table 5.</w:t>
      </w:r>
      <w:r>
        <w:rPr>
          <w:rFonts w:hint="eastAsia"/>
          <w:b/>
          <w:bCs/>
          <w:sz w:val="20"/>
          <w:szCs w:val="18"/>
          <w:lang w:eastAsia="zh-CN"/>
        </w:rPr>
        <w:t>2</w:t>
      </w:r>
      <w:r>
        <w:rPr>
          <w:rFonts w:hint="eastAsia"/>
          <w:b/>
          <w:bCs/>
          <w:sz w:val="20"/>
          <w:szCs w:val="18"/>
        </w:rPr>
        <w:t xml:space="preserve">: MPR with ACLR relaxation for </w:t>
      </w:r>
      <w:r>
        <w:rPr>
          <w:rFonts w:hint="eastAsia"/>
          <w:b/>
          <w:bCs/>
          <w:sz w:val="20"/>
          <w:szCs w:val="18"/>
          <w:lang w:eastAsia="zh-CN"/>
        </w:rPr>
        <w:t>C</w:t>
      </w:r>
      <w:r>
        <w:rPr>
          <w:rFonts w:hint="eastAsia"/>
          <w:b/>
          <w:bCs/>
          <w:sz w:val="20"/>
          <w:szCs w:val="18"/>
          <w:lang w:val="en-US" w:eastAsia="zh-CN"/>
        </w:rPr>
        <w:t>P</w:t>
      </w:r>
      <w:r>
        <w:rPr>
          <w:rFonts w:hint="eastAsia"/>
          <w:b/>
          <w:bCs/>
          <w:sz w:val="20"/>
          <w:szCs w:val="18"/>
        </w:rPr>
        <w:t>-OFDM</w:t>
      </w: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eastAsia"/>
          <w:b/>
          <w:bCs/>
          <w:sz w:val="20"/>
          <w:szCs w:val="18"/>
        </w:rPr>
      </w:pPr>
    </w:p>
    <w:tbl>
      <w:tblPr>
        <w:tblStyle w:val="23"/>
        <w:tblW w:w="512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5"/>
        <w:gridCol w:w="1163"/>
        <w:gridCol w:w="809"/>
        <w:gridCol w:w="791"/>
        <w:gridCol w:w="895"/>
        <w:gridCol w:w="862"/>
        <w:gridCol w:w="676"/>
        <w:gridCol w:w="984"/>
        <w:gridCol w:w="854"/>
        <w:gridCol w:w="1112"/>
        <w:gridCol w:w="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shd w:val="clear" w:color="auto" w:fill="DCE6F1"/>
            <w:noWrap/>
            <w:vAlign w:val="center"/>
          </w:tcPr>
          <w:p>
            <w:pPr>
              <w:jc w:val="center"/>
              <w:rPr>
                <w:rFonts w:hint="default" w:ascii="Calibri" w:hAnsi="Calibri" w:eastAsia="Times New Roman"/>
                <w:b/>
                <w:color w:val="0000FF"/>
                <w:sz w:val="16"/>
                <w:szCs w:val="16"/>
                <w:lang w:val="en-US" w:eastAsia="zh-CN"/>
              </w:rPr>
            </w:pPr>
            <w:r>
              <w:rPr>
                <w:rFonts w:hint="eastAsia" w:ascii="Calibri" w:hAnsi="Calibri" w:eastAsia="Times New Roman"/>
                <w:b/>
                <w:color w:val="0000FF"/>
                <w:sz w:val="16"/>
                <w:szCs w:val="16"/>
                <w:lang w:val="en-US" w:eastAsia="zh-CN"/>
              </w:rPr>
              <w:t>CP-OFDM</w:t>
            </w:r>
          </w:p>
        </w:tc>
        <w:tc>
          <w:tcPr>
            <w:tcW w:w="1364" w:type="pct"/>
            <w:gridSpan w:val="3"/>
            <w:shd w:val="clear" w:color="000000" w:fill="DCE6F1"/>
            <w:noWrap/>
            <w:vAlign w:val="center"/>
          </w:tcPr>
          <w:p>
            <w:pPr>
              <w:jc w:val="center"/>
              <w:rPr>
                <w:rFonts w:ascii="Calibri" w:hAnsi="Calibri" w:eastAsia="Times New Roman"/>
                <w:b/>
                <w:color w:val="0000FF"/>
                <w:sz w:val="16"/>
                <w:szCs w:val="16"/>
                <w:lang w:val="en-US" w:eastAsia="zh-CN"/>
              </w:rPr>
            </w:pPr>
          </w:p>
        </w:tc>
        <w:tc>
          <w:tcPr>
            <w:tcW w:w="1200" w:type="pct"/>
            <w:gridSpan w:val="3"/>
            <w:shd w:val="clear" w:color="000000" w:fill="DCE6F1"/>
            <w:noWrap/>
            <w:vAlign w:val="center"/>
          </w:tcPr>
          <w:p>
            <w:pPr>
              <w:jc w:val="center"/>
              <w:rPr>
                <w:rFonts w:hint="eastAsia" w:ascii="Calibri" w:hAnsi="Calibri" w:eastAsia="Times New Roman"/>
                <w:b/>
                <w:color w:val="C0504D"/>
                <w:sz w:val="16"/>
                <w:szCs w:val="16"/>
                <w:lang w:val="en-US" w:eastAsia="zh-CN"/>
              </w:rPr>
            </w:pPr>
            <w:r>
              <w:rPr>
                <w:rFonts w:hint="eastAsia" w:ascii="Calibri" w:hAnsi="Calibri" w:eastAsia="Times New Roman"/>
                <w:b/>
                <w:color w:val="C0504D"/>
                <w:sz w:val="16"/>
                <w:szCs w:val="16"/>
                <w:lang w:val="en-US" w:eastAsia="zh-CN"/>
              </w:rPr>
              <w:t>ACLR = 30dB (default)</w:t>
            </w:r>
          </w:p>
        </w:tc>
        <w:tc>
          <w:tcPr>
            <w:tcW w:w="907" w:type="pct"/>
            <w:gridSpan w:val="2"/>
            <w:shd w:val="clear" w:color="000000" w:fill="DCE6F1"/>
            <w:noWrap/>
            <w:vAlign w:val="center"/>
          </w:tcPr>
          <w:p>
            <w:pPr>
              <w:jc w:val="center"/>
              <w:rPr>
                <w:rFonts w:hint="eastAsia" w:ascii="Calibri" w:hAnsi="Calibri" w:eastAsia="Times New Roman"/>
                <w:b/>
                <w:color w:val="8064A2" w:themeColor="accent4"/>
                <w:sz w:val="16"/>
                <w:szCs w:val="16"/>
                <w:lang w:val="en-US" w:eastAsia="zh-CN"/>
                <w14:textFill>
                  <w14:solidFill>
                    <w14:schemeClr w14:val="accent4"/>
                  </w14:solidFill>
                </w14:textFill>
              </w:rPr>
            </w:pPr>
            <w:r>
              <w:rPr>
                <w:rFonts w:hint="eastAsia" w:ascii="Calibri" w:hAnsi="Calibri" w:eastAsia="Times New Roman"/>
                <w:b/>
                <w:color w:val="8064A2" w:themeColor="accent4"/>
                <w:sz w:val="16"/>
                <w:szCs w:val="16"/>
                <w:lang w:val="en-US" w:eastAsia="zh-CN"/>
                <w14:textFill>
                  <w14:solidFill>
                    <w14:schemeClr w14:val="accent4"/>
                  </w14:solidFill>
                </w14:textFill>
              </w:rPr>
              <w:t>ACLR = 29dB</w:t>
            </w:r>
          </w:p>
        </w:tc>
        <w:tc>
          <w:tcPr>
            <w:tcW w:w="902" w:type="pct"/>
            <w:gridSpan w:val="2"/>
            <w:shd w:val="clear" w:color="000000" w:fill="DCE6F1"/>
            <w:noWrap/>
            <w:vAlign w:val="center"/>
          </w:tcPr>
          <w:p>
            <w:pPr>
              <w:jc w:val="center"/>
              <w:rPr>
                <w:rFonts w:hint="default" w:ascii="Calibri" w:hAnsi="Calibri" w:eastAsia="Times New Roman"/>
                <w:b/>
                <w:color w:val="00B050"/>
                <w:sz w:val="16"/>
                <w:szCs w:val="16"/>
                <w:lang w:val="en-US" w:eastAsia="zh-CN"/>
              </w:rPr>
            </w:pPr>
            <w:r>
              <w:rPr>
                <w:rFonts w:hint="eastAsia" w:ascii="Calibri" w:hAnsi="Calibri" w:eastAsia="Times New Roman"/>
                <w:b/>
                <w:color w:val="00B050"/>
                <w:sz w:val="16"/>
                <w:szCs w:val="16"/>
                <w:lang w:val="en-US" w:eastAsia="zh-CN"/>
              </w:rPr>
              <w:t>ACLR = 28dB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shd w:val="clear" w:color="auto" w:fill="DCE6F1"/>
            <w:noWrap/>
            <w:vAlign w:val="center"/>
          </w:tcPr>
          <w:p>
            <w:pPr>
              <w:jc w:val="center"/>
              <w:rPr>
                <w:rFonts w:ascii="Calibri" w:hAnsi="Calibri" w:eastAsia="Times New Roman" w:cs="Times New Roman"/>
                <w:b/>
                <w:color w:val="0000FF"/>
                <w:sz w:val="16"/>
                <w:szCs w:val="16"/>
                <w:lang w:val="en-US" w:eastAsia="zh-CN" w:bidi="ar-SA"/>
              </w:rPr>
            </w:pPr>
            <w:r>
              <w:rPr>
                <w:rFonts w:ascii="Calibri" w:hAnsi="Calibri" w:eastAsia="Times New Roman"/>
                <w:b/>
                <w:color w:val="0000FF"/>
                <w:sz w:val="16"/>
                <w:szCs w:val="16"/>
                <w:lang w:val="en-US" w:eastAsia="zh-CN"/>
              </w:rPr>
              <w:t>Modulation</w:t>
            </w:r>
          </w:p>
        </w:tc>
        <w:tc>
          <w:tcPr>
            <w:tcW w:w="574" w:type="pct"/>
            <w:shd w:val="clear" w:color="000000" w:fill="DCE6F1"/>
            <w:noWrap/>
            <w:vAlign w:val="center"/>
          </w:tcPr>
          <w:p>
            <w:pPr>
              <w:jc w:val="center"/>
              <w:rPr>
                <w:rFonts w:ascii="Calibri" w:hAnsi="Calibri" w:eastAsia="Times New Roman" w:cs="Times New Roman"/>
                <w:b/>
                <w:color w:val="0000FF"/>
                <w:sz w:val="16"/>
                <w:szCs w:val="16"/>
                <w:lang w:val="en-US" w:eastAsia="zh-CN" w:bidi="ar-SA"/>
              </w:rPr>
            </w:pPr>
            <w:r>
              <w:rPr>
                <w:rFonts w:ascii="Calibri" w:hAnsi="Calibri" w:eastAsia="Times New Roman"/>
                <w:b/>
                <w:color w:val="0000FF"/>
                <w:sz w:val="16"/>
                <w:szCs w:val="16"/>
                <w:lang w:val="en-US" w:eastAsia="zh-CN"/>
              </w:rPr>
              <w:t>[RB start, RB Num]</w:t>
            </w:r>
          </w:p>
        </w:tc>
        <w:tc>
          <w:tcPr>
            <w:tcW w:w="399" w:type="pct"/>
            <w:shd w:val="clear" w:color="000000" w:fill="DCE6F1"/>
            <w:noWrap/>
            <w:vAlign w:val="center"/>
          </w:tcPr>
          <w:p>
            <w:pPr>
              <w:jc w:val="center"/>
              <w:rPr>
                <w:rFonts w:ascii="Calibri" w:hAnsi="Calibri" w:eastAsia="Times New Roman" w:cs="Times New Roman"/>
                <w:b/>
                <w:color w:val="0000FF"/>
                <w:sz w:val="16"/>
                <w:szCs w:val="16"/>
                <w:lang w:val="en-US" w:eastAsia="zh-CN" w:bidi="ar-SA"/>
              </w:rPr>
            </w:pPr>
            <w:r>
              <w:rPr>
                <w:rFonts w:ascii="Calibri" w:hAnsi="Calibri" w:eastAsia="Times New Roman"/>
                <w:b/>
                <w:color w:val="0000FF"/>
                <w:sz w:val="16"/>
                <w:szCs w:val="16"/>
                <w:lang w:val="en-US" w:eastAsia="zh-CN"/>
              </w:rPr>
              <w:t>SCS [KHz]</w:t>
            </w:r>
          </w:p>
        </w:tc>
        <w:tc>
          <w:tcPr>
            <w:tcW w:w="390" w:type="pct"/>
            <w:shd w:val="clear" w:color="000000" w:fill="DCE6F1"/>
            <w:noWrap/>
            <w:vAlign w:val="center"/>
          </w:tcPr>
          <w:p>
            <w:pPr>
              <w:jc w:val="center"/>
              <w:rPr>
                <w:rFonts w:ascii="Calibri" w:hAnsi="Calibri" w:eastAsia="Times New Roman" w:cs="Times New Roman"/>
                <w:b/>
                <w:color w:val="0000FF"/>
                <w:sz w:val="16"/>
                <w:szCs w:val="16"/>
                <w:lang w:val="en-US" w:eastAsia="zh-CN" w:bidi="ar-SA"/>
              </w:rPr>
            </w:pPr>
            <w:r>
              <w:rPr>
                <w:rFonts w:ascii="Calibri" w:hAnsi="Calibri" w:eastAsia="Times New Roman"/>
                <w:b/>
                <w:color w:val="0000FF"/>
                <w:sz w:val="16"/>
                <w:szCs w:val="16"/>
                <w:lang w:val="en-US" w:eastAsia="zh-CN"/>
              </w:rPr>
              <w:t>BW [MHz]</w:t>
            </w:r>
          </w:p>
        </w:tc>
        <w:tc>
          <w:tcPr>
            <w:tcW w:w="441" w:type="pct"/>
            <w:shd w:val="clear" w:color="000000" w:fill="DCE6F1"/>
            <w:noWrap/>
            <w:vAlign w:val="center"/>
          </w:tcPr>
          <w:p>
            <w:pPr>
              <w:jc w:val="center"/>
              <w:rPr>
                <w:rFonts w:ascii="Calibri" w:hAnsi="Calibri" w:eastAsia="Times New Roman" w:cs="Times New Roman"/>
                <w:b/>
                <w:color w:val="C0504D" w:themeColor="accent2"/>
                <w:sz w:val="16"/>
                <w:szCs w:val="16"/>
                <w:lang w:val="en-US" w:eastAsia="zh-CN" w:bidi="ar-SA"/>
                <w14:textFill>
                  <w14:solidFill>
                    <w14:schemeClr w14:val="accent2"/>
                  </w14:solidFill>
                </w14:textFill>
              </w:rPr>
            </w:pPr>
            <w:r>
              <w:rPr>
                <w:rFonts w:ascii="Calibri" w:hAnsi="Calibri" w:eastAsia="Times New Roman"/>
                <w:b/>
                <w:color w:val="C0504D" w:themeColor="accent2"/>
                <w:sz w:val="16"/>
                <w:szCs w:val="16"/>
                <w:lang w:val="en-US" w:eastAsia="zh-CN"/>
                <w14:textFill>
                  <w14:solidFill>
                    <w14:schemeClr w14:val="accent2"/>
                  </w14:solidFill>
                </w14:textFill>
              </w:rPr>
              <w:t>Limiting factor</w:t>
            </w:r>
          </w:p>
        </w:tc>
        <w:tc>
          <w:tcPr>
            <w:tcW w:w="425" w:type="pct"/>
            <w:shd w:val="clear" w:color="000000" w:fill="DCE6F1"/>
            <w:noWrap/>
            <w:vAlign w:val="center"/>
          </w:tcPr>
          <w:p>
            <w:pPr>
              <w:jc w:val="center"/>
              <w:rPr>
                <w:rFonts w:ascii="Calibri" w:hAnsi="Calibri" w:eastAsia="Times New Roman" w:cs="Times New Roman"/>
                <w:b/>
                <w:color w:val="auto"/>
                <w:sz w:val="16"/>
                <w:szCs w:val="16"/>
                <w:lang w:val="en-US" w:eastAsia="zh-CN" w:bidi="ar-SA"/>
              </w:rPr>
            </w:pPr>
            <w:r>
              <w:rPr>
                <w:rFonts w:ascii="Calibri" w:hAnsi="Calibri" w:eastAsia="Times New Roman"/>
                <w:b/>
                <w:color w:val="C0504D"/>
                <w:sz w:val="16"/>
                <w:szCs w:val="16"/>
                <w:lang w:val="en-US" w:eastAsia="zh-CN"/>
              </w:rPr>
              <w:t>MPR [dB]</w:t>
            </w:r>
          </w:p>
        </w:tc>
        <w:tc>
          <w:tcPr>
            <w:tcW w:w="333" w:type="pct"/>
            <w:shd w:val="clear" w:color="000000" w:fill="DCE6F1"/>
            <w:noWrap/>
            <w:vAlign w:val="center"/>
          </w:tcPr>
          <w:p>
            <w:pPr>
              <w:jc w:val="center"/>
              <w:rPr>
                <w:rFonts w:hint="default" w:ascii="Calibri" w:hAnsi="Calibri" w:eastAsia="Times New Roman"/>
                <w:b/>
                <w:color w:val="C0504D"/>
                <w:sz w:val="16"/>
                <w:szCs w:val="16"/>
                <w:lang w:val="en-US" w:eastAsia="zh-CN"/>
              </w:rPr>
            </w:pPr>
            <w:r>
              <w:rPr>
                <w:rFonts w:hint="eastAsia" w:ascii="Calibri" w:hAnsi="Calibri" w:eastAsia="Times New Roman"/>
                <w:b/>
                <w:color w:val="C0504D"/>
                <w:sz w:val="16"/>
                <w:szCs w:val="16"/>
                <w:lang w:val="en-US" w:eastAsia="zh-CN"/>
              </w:rPr>
              <w:t>spec</w:t>
            </w:r>
          </w:p>
        </w:tc>
        <w:tc>
          <w:tcPr>
            <w:tcW w:w="485" w:type="pct"/>
            <w:shd w:val="clear" w:color="000000" w:fill="DCE6F1"/>
            <w:noWrap/>
            <w:vAlign w:val="center"/>
          </w:tcPr>
          <w:p>
            <w:pPr>
              <w:jc w:val="center"/>
              <w:rPr>
                <w:rFonts w:hint="eastAsia" w:ascii="Calibri" w:hAnsi="Calibri" w:eastAsia="Times New Roman" w:cs="Times New Roman"/>
                <w:b/>
                <w:color w:val="8064A2" w:themeColor="accent4"/>
                <w:kern w:val="2"/>
                <w:sz w:val="16"/>
                <w:szCs w:val="16"/>
                <w:lang w:val="en-US" w:eastAsia="zh-CN" w:bidi="ar-SA"/>
                <w14:textFill>
                  <w14:solidFill>
                    <w14:schemeClr w14:val="accent4"/>
                  </w14:solidFill>
                </w14:textFill>
              </w:rPr>
            </w:pPr>
            <w:r>
              <w:rPr>
                <w:rFonts w:ascii="Calibri" w:hAnsi="Calibri" w:eastAsia="Times New Roman"/>
                <w:b/>
                <w:color w:val="8064A2" w:themeColor="accent4"/>
                <w:sz w:val="16"/>
                <w:szCs w:val="16"/>
                <w:lang w:val="en-US" w:eastAsia="zh-CN"/>
                <w14:textFill>
                  <w14:solidFill>
                    <w14:schemeClr w14:val="accent4"/>
                  </w14:solidFill>
                </w14:textFill>
              </w:rPr>
              <w:t>Limiting factor</w:t>
            </w:r>
          </w:p>
        </w:tc>
        <w:tc>
          <w:tcPr>
            <w:tcW w:w="421" w:type="pct"/>
            <w:shd w:val="clear" w:color="000000" w:fill="DCE6F1"/>
            <w:noWrap/>
            <w:vAlign w:val="center"/>
          </w:tcPr>
          <w:p>
            <w:pPr>
              <w:jc w:val="center"/>
              <w:rPr>
                <w:rFonts w:hint="eastAsia" w:ascii="Calibri" w:hAnsi="Calibri" w:eastAsia="Times New Roman" w:cs="Times New Roman"/>
                <w:b/>
                <w:color w:val="8064A2" w:themeColor="accent4"/>
                <w:kern w:val="2"/>
                <w:sz w:val="16"/>
                <w:szCs w:val="16"/>
                <w:lang w:val="en-US" w:eastAsia="zh-CN" w:bidi="ar-SA"/>
                <w14:textFill>
                  <w14:solidFill>
                    <w14:schemeClr w14:val="accent4"/>
                  </w14:solidFill>
                </w14:textFill>
              </w:rPr>
            </w:pPr>
            <w:r>
              <w:rPr>
                <w:rFonts w:ascii="Calibri" w:hAnsi="Calibri" w:eastAsia="Times New Roman"/>
                <w:b/>
                <w:color w:val="8064A2" w:themeColor="accent4"/>
                <w:sz w:val="16"/>
                <w:szCs w:val="16"/>
                <w:lang w:val="en-US" w:eastAsia="zh-CN"/>
                <w14:textFill>
                  <w14:solidFill>
                    <w14:schemeClr w14:val="accent4"/>
                  </w14:solidFill>
                </w14:textFill>
              </w:rPr>
              <w:t>MPR [dB]</w:t>
            </w:r>
          </w:p>
        </w:tc>
        <w:tc>
          <w:tcPr>
            <w:tcW w:w="549" w:type="pct"/>
            <w:shd w:val="clear" w:color="000000" w:fill="DCE6F1"/>
            <w:noWrap/>
            <w:vAlign w:val="center"/>
          </w:tcPr>
          <w:p>
            <w:pPr>
              <w:jc w:val="center"/>
              <w:rPr>
                <w:rFonts w:hint="eastAsia" w:ascii="Calibri" w:hAnsi="Calibri" w:eastAsia="Times New Roman" w:cs="Times New Roman"/>
                <w:b/>
                <w:color w:val="00B050"/>
                <w:kern w:val="2"/>
                <w:sz w:val="16"/>
                <w:szCs w:val="16"/>
                <w:lang w:val="en-US" w:eastAsia="zh-CN" w:bidi="ar-SA"/>
              </w:rPr>
            </w:pPr>
            <w:r>
              <w:rPr>
                <w:rFonts w:ascii="Calibri" w:hAnsi="Calibri" w:eastAsia="Times New Roman"/>
                <w:b/>
                <w:color w:val="00B050"/>
                <w:sz w:val="16"/>
                <w:szCs w:val="16"/>
                <w:lang w:val="en-US" w:eastAsia="zh-CN"/>
              </w:rPr>
              <w:t>Limiting factor</w:t>
            </w:r>
          </w:p>
        </w:tc>
        <w:tc>
          <w:tcPr>
            <w:tcW w:w="353" w:type="pct"/>
            <w:shd w:val="clear" w:color="000000" w:fill="DCE6F1"/>
            <w:noWrap/>
            <w:vAlign w:val="center"/>
          </w:tcPr>
          <w:p>
            <w:pPr>
              <w:jc w:val="center"/>
              <w:rPr>
                <w:rFonts w:hint="eastAsia" w:ascii="Calibri" w:hAnsi="Calibri" w:eastAsia="Times New Roman" w:cs="Times New Roman"/>
                <w:b/>
                <w:color w:val="00B050"/>
                <w:kern w:val="2"/>
                <w:sz w:val="16"/>
                <w:szCs w:val="16"/>
                <w:lang w:val="en-US" w:eastAsia="zh-CN" w:bidi="ar-SA"/>
              </w:rPr>
            </w:pPr>
            <w:r>
              <w:rPr>
                <w:rFonts w:ascii="Calibri" w:hAnsi="Calibri" w:eastAsia="Times New Roman"/>
                <w:b/>
                <w:color w:val="00B050"/>
                <w:sz w:val="16"/>
                <w:szCs w:val="16"/>
                <w:lang w:val="en-US" w:eastAsia="zh-CN"/>
              </w:rPr>
              <w:t>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24" w:type="pct"/>
            <w:vMerge w:val="restart"/>
            <w:shd w:val="clear" w:color="auto"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QPSK</w:t>
            </w:r>
          </w:p>
        </w:tc>
        <w:tc>
          <w:tcPr>
            <w:tcW w:w="574"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[0,25]</w:t>
            </w:r>
          </w:p>
        </w:tc>
        <w:tc>
          <w:tcPr>
            <w:tcW w:w="399"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15</w:t>
            </w:r>
          </w:p>
        </w:tc>
        <w:tc>
          <w:tcPr>
            <w:tcW w:w="390"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5</w:t>
            </w:r>
          </w:p>
        </w:tc>
        <w:tc>
          <w:tcPr>
            <w:tcW w:w="441" w:type="pct"/>
            <w:shd w:val="clear" w:color="000000" w:fill="auto"/>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ACLR</w:t>
            </w:r>
          </w:p>
        </w:tc>
        <w:tc>
          <w:tcPr>
            <w:tcW w:w="425"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2.97</w:t>
            </w:r>
          </w:p>
        </w:tc>
        <w:tc>
          <w:tcPr>
            <w:tcW w:w="333" w:type="pct"/>
            <w:vMerge w:val="restart"/>
            <w:shd w:val="clear" w:color="000000" w:fill="auto"/>
            <w:noWrap/>
            <w:vAlign w:val="center"/>
          </w:tcPr>
          <w:p>
            <w:pPr>
              <w:jc w:val="center"/>
              <w:rPr>
                <w:rFonts w:hint="default" w:ascii="Calibri" w:hAnsi="Calibri" w:eastAsia="Times New Roman" w:cs="Times New Roman"/>
                <w:color w:val="auto"/>
                <w:kern w:val="2"/>
                <w:sz w:val="16"/>
                <w:szCs w:val="16"/>
                <w:lang w:val="en-US" w:eastAsia="zh-CN" w:bidi="ar-SA"/>
              </w:rPr>
            </w:pPr>
            <w:r>
              <w:rPr>
                <w:rFonts w:hint="eastAsia" w:ascii="Calibri" w:hAnsi="Calibri" w:eastAsia="Times New Roman" w:cs="Times New Roman"/>
                <w:color w:val="auto"/>
                <w:kern w:val="2"/>
                <w:sz w:val="16"/>
                <w:szCs w:val="16"/>
                <w:lang w:val="en-US" w:eastAsia="zh-CN" w:bidi="ar-SA"/>
              </w:rPr>
              <w:t>3</w:t>
            </w:r>
          </w:p>
          <w:p>
            <w:pPr>
              <w:jc w:val="center"/>
              <w:rPr>
                <w:rFonts w:hint="default" w:ascii="Calibri" w:hAnsi="Calibri" w:eastAsia="Times New Roman"/>
                <w:color w:val="auto"/>
                <w:sz w:val="16"/>
                <w:szCs w:val="16"/>
                <w:lang w:val="en-US" w:eastAsia="zh-CN"/>
              </w:rPr>
            </w:pPr>
          </w:p>
        </w:tc>
        <w:tc>
          <w:tcPr>
            <w:tcW w:w="485"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2.58</w:t>
            </w:r>
          </w:p>
        </w:tc>
        <w:tc>
          <w:tcPr>
            <w:tcW w:w="549"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53"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ascii="Calibri" w:hAnsi="Calibri" w:eastAsia="Times New Roman"/>
                <w:color w:val="000000"/>
                <w:sz w:val="16"/>
                <w:szCs w:val="16"/>
                <w:highlight w:val="none"/>
                <w:lang w:val="en-US" w:eastAsia="zh-CN"/>
              </w:rPr>
            </w:pPr>
            <w:r>
              <w:rPr>
                <w:rFonts w:ascii="Calibri" w:hAnsi="Calibri" w:eastAsia="Times New Roman"/>
                <w:color w:val="000000"/>
                <w:sz w:val="16"/>
                <w:szCs w:val="16"/>
                <w:highlight w:val="none"/>
                <w:lang w:val="en-US" w:eastAsia="zh-CN"/>
              </w:rPr>
              <w:t xml:space="preserve"> [0,106]</w:t>
            </w:r>
          </w:p>
        </w:tc>
        <w:tc>
          <w:tcPr>
            <w:tcW w:w="399" w:type="pct"/>
            <w:shd w:val="clear" w:color="000000" w:fill="auto"/>
            <w:noWrap/>
            <w:vAlign w:val="center"/>
          </w:tcPr>
          <w:p>
            <w:pPr>
              <w:jc w:val="center"/>
              <w:rPr>
                <w:rFonts w:ascii="Calibri" w:hAnsi="Calibri" w:eastAsia="Times New Roman"/>
                <w:color w:val="000000"/>
                <w:sz w:val="16"/>
                <w:szCs w:val="16"/>
                <w:highlight w:val="none"/>
                <w:lang w:val="en-US" w:eastAsia="zh-CN"/>
              </w:rPr>
            </w:pPr>
            <w:r>
              <w:rPr>
                <w:rFonts w:ascii="Calibri" w:hAnsi="Calibri" w:eastAsia="Times New Roman"/>
                <w:color w:val="000000"/>
                <w:sz w:val="16"/>
                <w:szCs w:val="16"/>
                <w:highlight w:val="none"/>
                <w:lang w:val="en-US" w:eastAsia="zh-CN"/>
              </w:rPr>
              <w:t>15</w:t>
            </w:r>
          </w:p>
        </w:tc>
        <w:tc>
          <w:tcPr>
            <w:tcW w:w="390" w:type="pct"/>
            <w:shd w:val="clear" w:color="000000" w:fill="auto"/>
            <w:noWrap/>
            <w:vAlign w:val="center"/>
          </w:tcPr>
          <w:p>
            <w:pPr>
              <w:jc w:val="center"/>
              <w:rPr>
                <w:rFonts w:ascii="Calibri" w:hAnsi="Calibri" w:eastAsia="Times New Roman"/>
                <w:color w:val="000000"/>
                <w:sz w:val="16"/>
                <w:szCs w:val="16"/>
                <w:highlight w:val="none"/>
                <w:lang w:val="en-US" w:eastAsia="zh-CN"/>
              </w:rPr>
            </w:pPr>
            <w:r>
              <w:rPr>
                <w:rFonts w:ascii="Calibri" w:hAnsi="Calibri" w:eastAsia="Times New Roman"/>
                <w:color w:val="000000"/>
                <w:sz w:val="16"/>
                <w:szCs w:val="16"/>
                <w:highlight w:val="none"/>
                <w:lang w:val="en-US" w:eastAsia="zh-CN"/>
              </w:rPr>
              <w:t>20</w:t>
            </w:r>
          </w:p>
        </w:tc>
        <w:tc>
          <w:tcPr>
            <w:tcW w:w="441" w:type="pct"/>
            <w:shd w:val="clear" w:color="000000" w:fill="auto"/>
            <w:noWrap/>
            <w:vAlign w:val="center"/>
          </w:tcPr>
          <w:p>
            <w:pPr>
              <w:jc w:val="center"/>
              <w:rPr>
                <w:rFonts w:hint="default" w:ascii="Calibri" w:hAnsi="Calibri" w:eastAsia="Times New Roman"/>
                <w:color w:val="000000"/>
                <w:sz w:val="16"/>
                <w:szCs w:val="16"/>
                <w:highlight w:val="none"/>
                <w:lang w:val="en-US" w:eastAsia="zh-CN"/>
              </w:rPr>
            </w:pPr>
            <w:r>
              <w:rPr>
                <w:rFonts w:hint="eastAsia" w:ascii="Calibri" w:hAnsi="Calibri" w:eastAsia="Times New Roman"/>
                <w:color w:val="000000"/>
                <w:sz w:val="16"/>
                <w:szCs w:val="16"/>
                <w:highlight w:val="none"/>
                <w:lang w:val="en-US" w:eastAsia="zh-CN"/>
              </w:rPr>
              <w:t>ACLR</w:t>
            </w:r>
          </w:p>
        </w:tc>
        <w:tc>
          <w:tcPr>
            <w:tcW w:w="425" w:type="pct"/>
            <w:shd w:val="clear" w:color="000000" w:fill="auto"/>
            <w:noWrap/>
            <w:vAlign w:val="center"/>
          </w:tcPr>
          <w:p>
            <w:pPr>
              <w:jc w:val="center"/>
              <w:rPr>
                <w:rFonts w:hint="default" w:ascii="Calibri" w:hAnsi="Calibri" w:eastAsia="Times New Roman"/>
                <w:b/>
                <w:bCs/>
                <w:color w:val="auto"/>
                <w:sz w:val="16"/>
                <w:szCs w:val="16"/>
                <w:highlight w:val="none"/>
                <w:lang w:val="en-US" w:eastAsia="zh-CN"/>
              </w:rPr>
            </w:pPr>
            <w:r>
              <w:rPr>
                <w:rFonts w:hint="eastAsia" w:ascii="Calibri" w:hAnsi="Calibri" w:eastAsia="Times New Roman"/>
                <w:b/>
                <w:bCs/>
                <w:color w:val="auto"/>
                <w:sz w:val="16"/>
                <w:szCs w:val="16"/>
                <w:highlight w:val="none"/>
                <w:lang w:val="en-US" w:eastAsia="zh-CN"/>
              </w:rPr>
              <w:t>3.16</w:t>
            </w:r>
          </w:p>
        </w:tc>
        <w:tc>
          <w:tcPr>
            <w:tcW w:w="333" w:type="pct"/>
            <w:vMerge w:val="continue"/>
            <w:shd w:val="clear" w:color="000000" w:fill="auto"/>
            <w:noWrap/>
            <w:vAlign w:val="center"/>
          </w:tcPr>
          <w:p>
            <w:pPr>
              <w:jc w:val="center"/>
              <w:rPr>
                <w:rFonts w:hint="eastAsia" w:ascii="Calibri" w:hAnsi="Calibri" w:eastAsia="Times New Roman"/>
                <w:color w:val="auto"/>
                <w:sz w:val="16"/>
                <w:szCs w:val="16"/>
                <w:highlight w:val="none"/>
                <w:lang w:val="en-US" w:eastAsia="zh-CN"/>
              </w:rPr>
            </w:pPr>
          </w:p>
        </w:tc>
        <w:tc>
          <w:tcPr>
            <w:tcW w:w="485"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2.76</w:t>
            </w:r>
          </w:p>
        </w:tc>
        <w:tc>
          <w:tcPr>
            <w:tcW w:w="549"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53"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[0,270]</w:t>
            </w:r>
          </w:p>
        </w:tc>
        <w:tc>
          <w:tcPr>
            <w:tcW w:w="399"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15</w:t>
            </w:r>
          </w:p>
        </w:tc>
        <w:tc>
          <w:tcPr>
            <w:tcW w:w="390"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50</w:t>
            </w:r>
          </w:p>
        </w:tc>
        <w:tc>
          <w:tcPr>
            <w:tcW w:w="441" w:type="pct"/>
            <w:shd w:val="clear" w:color="000000" w:fill="auto"/>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ACLR</w:t>
            </w:r>
          </w:p>
        </w:tc>
        <w:tc>
          <w:tcPr>
            <w:tcW w:w="425"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3.2</w:t>
            </w:r>
          </w:p>
        </w:tc>
        <w:tc>
          <w:tcPr>
            <w:tcW w:w="333" w:type="pct"/>
            <w:vMerge w:val="continue"/>
            <w:shd w:val="clear" w:color="000000" w:fill="auto"/>
            <w:noWrap/>
            <w:vAlign w:val="center"/>
          </w:tcPr>
          <w:p>
            <w:pPr>
              <w:jc w:val="center"/>
              <w:rPr>
                <w:rFonts w:hint="eastAsia" w:ascii="Calibri" w:hAnsi="Calibri" w:eastAsia="Times New Roman"/>
                <w:color w:val="auto"/>
                <w:sz w:val="16"/>
                <w:szCs w:val="16"/>
                <w:lang w:val="en-US" w:eastAsia="zh-CN"/>
              </w:rPr>
            </w:pPr>
          </w:p>
        </w:tc>
        <w:tc>
          <w:tcPr>
            <w:tcW w:w="485"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2.84</w:t>
            </w:r>
          </w:p>
        </w:tc>
        <w:tc>
          <w:tcPr>
            <w:tcW w:w="549"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53"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[0,133]</w:t>
            </w:r>
          </w:p>
        </w:tc>
        <w:tc>
          <w:tcPr>
            <w:tcW w:w="399"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30</w:t>
            </w:r>
          </w:p>
        </w:tc>
        <w:tc>
          <w:tcPr>
            <w:tcW w:w="390"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50</w:t>
            </w:r>
          </w:p>
        </w:tc>
        <w:tc>
          <w:tcPr>
            <w:tcW w:w="441" w:type="pct"/>
            <w:shd w:val="clear" w:color="000000" w:fill="auto"/>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ACLR</w:t>
            </w:r>
          </w:p>
        </w:tc>
        <w:tc>
          <w:tcPr>
            <w:tcW w:w="425"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3.2</w:t>
            </w:r>
          </w:p>
        </w:tc>
        <w:tc>
          <w:tcPr>
            <w:tcW w:w="333" w:type="pct"/>
            <w:vMerge w:val="continue"/>
            <w:shd w:val="clear" w:color="000000" w:fill="auto"/>
            <w:noWrap/>
            <w:vAlign w:val="center"/>
          </w:tcPr>
          <w:p>
            <w:pPr>
              <w:jc w:val="center"/>
              <w:rPr>
                <w:rFonts w:hint="eastAsia" w:ascii="Calibri" w:hAnsi="Calibri" w:eastAsia="Times New Roman"/>
                <w:color w:val="auto"/>
                <w:sz w:val="16"/>
                <w:szCs w:val="16"/>
                <w:lang w:val="en-US" w:eastAsia="zh-CN"/>
              </w:rPr>
            </w:pPr>
          </w:p>
        </w:tc>
        <w:tc>
          <w:tcPr>
            <w:tcW w:w="485"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2.84</w:t>
            </w:r>
          </w:p>
        </w:tc>
        <w:tc>
          <w:tcPr>
            <w:tcW w:w="549"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53"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[0,273]</w:t>
            </w:r>
          </w:p>
        </w:tc>
        <w:tc>
          <w:tcPr>
            <w:tcW w:w="399"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30</w:t>
            </w:r>
          </w:p>
        </w:tc>
        <w:tc>
          <w:tcPr>
            <w:tcW w:w="390"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100</w:t>
            </w:r>
          </w:p>
        </w:tc>
        <w:tc>
          <w:tcPr>
            <w:tcW w:w="441" w:type="pct"/>
            <w:shd w:val="clear" w:color="000000" w:fill="auto"/>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ACLR</w:t>
            </w:r>
          </w:p>
        </w:tc>
        <w:tc>
          <w:tcPr>
            <w:tcW w:w="425"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3.25</w:t>
            </w:r>
          </w:p>
        </w:tc>
        <w:tc>
          <w:tcPr>
            <w:tcW w:w="333" w:type="pct"/>
            <w:vMerge w:val="continue"/>
            <w:shd w:val="clear" w:color="000000" w:fill="auto"/>
            <w:noWrap/>
            <w:vAlign w:val="center"/>
          </w:tcPr>
          <w:p>
            <w:pPr>
              <w:jc w:val="center"/>
              <w:rPr>
                <w:rFonts w:hint="eastAsia" w:ascii="Calibri" w:hAnsi="Calibri" w:eastAsia="Times New Roman"/>
                <w:color w:val="auto"/>
                <w:sz w:val="16"/>
                <w:szCs w:val="16"/>
                <w:lang w:val="en-US" w:eastAsia="zh-CN"/>
              </w:rPr>
            </w:pPr>
          </w:p>
        </w:tc>
        <w:tc>
          <w:tcPr>
            <w:tcW w:w="485"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2.88</w:t>
            </w:r>
          </w:p>
        </w:tc>
        <w:tc>
          <w:tcPr>
            <w:tcW w:w="549"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53"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[0,18]</w:t>
            </w:r>
          </w:p>
        </w:tc>
        <w:tc>
          <w:tcPr>
            <w:tcW w:w="399"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60</w:t>
            </w:r>
          </w:p>
        </w:tc>
        <w:tc>
          <w:tcPr>
            <w:tcW w:w="390"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15</w:t>
            </w:r>
          </w:p>
        </w:tc>
        <w:tc>
          <w:tcPr>
            <w:tcW w:w="441" w:type="pct"/>
            <w:shd w:val="clear" w:color="000000" w:fill="auto"/>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ACLR</w:t>
            </w:r>
          </w:p>
        </w:tc>
        <w:tc>
          <w:tcPr>
            <w:tcW w:w="425"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2.97</w:t>
            </w:r>
          </w:p>
        </w:tc>
        <w:tc>
          <w:tcPr>
            <w:tcW w:w="333" w:type="pct"/>
            <w:vMerge w:val="continue"/>
            <w:shd w:val="clear" w:color="000000" w:fill="auto"/>
            <w:noWrap/>
            <w:vAlign w:val="center"/>
          </w:tcPr>
          <w:p>
            <w:pPr>
              <w:jc w:val="center"/>
              <w:rPr>
                <w:rFonts w:hint="eastAsia" w:ascii="Calibri" w:hAnsi="Calibri" w:eastAsia="Times New Roman"/>
                <w:color w:val="FF0000"/>
                <w:sz w:val="16"/>
                <w:szCs w:val="16"/>
                <w:lang w:val="en-US" w:eastAsia="zh-CN"/>
              </w:rPr>
            </w:pPr>
          </w:p>
        </w:tc>
        <w:tc>
          <w:tcPr>
            <w:tcW w:w="485"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2.62</w:t>
            </w:r>
          </w:p>
        </w:tc>
        <w:tc>
          <w:tcPr>
            <w:tcW w:w="549"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53"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[0,107]</w:t>
            </w:r>
          </w:p>
        </w:tc>
        <w:tc>
          <w:tcPr>
            <w:tcW w:w="399"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60</w:t>
            </w:r>
          </w:p>
        </w:tc>
        <w:tc>
          <w:tcPr>
            <w:tcW w:w="390"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80</w:t>
            </w:r>
          </w:p>
        </w:tc>
        <w:tc>
          <w:tcPr>
            <w:tcW w:w="441" w:type="pct"/>
            <w:shd w:val="clear" w:color="000000" w:fill="auto"/>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ACLR</w:t>
            </w:r>
          </w:p>
        </w:tc>
        <w:tc>
          <w:tcPr>
            <w:tcW w:w="425"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3.24</w:t>
            </w:r>
          </w:p>
        </w:tc>
        <w:tc>
          <w:tcPr>
            <w:tcW w:w="333" w:type="pct"/>
            <w:vMerge w:val="continue"/>
            <w:shd w:val="clear" w:color="000000" w:fill="auto"/>
            <w:noWrap/>
            <w:vAlign w:val="center"/>
          </w:tcPr>
          <w:p>
            <w:pPr>
              <w:jc w:val="center"/>
              <w:rPr>
                <w:rFonts w:hint="eastAsia" w:ascii="Calibri" w:hAnsi="Calibri" w:eastAsia="Times New Roman"/>
                <w:color w:val="auto"/>
                <w:sz w:val="16"/>
                <w:szCs w:val="16"/>
                <w:lang w:val="en-US" w:eastAsia="zh-CN"/>
              </w:rPr>
            </w:pPr>
          </w:p>
        </w:tc>
        <w:tc>
          <w:tcPr>
            <w:tcW w:w="485"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2.85</w:t>
            </w:r>
          </w:p>
        </w:tc>
        <w:tc>
          <w:tcPr>
            <w:tcW w:w="549"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53"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[0,50]</w:t>
            </w:r>
          </w:p>
        </w:tc>
        <w:tc>
          <w:tcPr>
            <w:tcW w:w="399" w:type="pct"/>
            <w:shd w:val="clear" w:color="000000" w:fill="auto"/>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15</w:t>
            </w:r>
          </w:p>
        </w:tc>
        <w:tc>
          <w:tcPr>
            <w:tcW w:w="390" w:type="pct"/>
            <w:shd w:val="clear" w:color="000000" w:fill="auto"/>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20</w:t>
            </w:r>
          </w:p>
        </w:tc>
        <w:tc>
          <w:tcPr>
            <w:tcW w:w="441" w:type="pct"/>
            <w:shd w:val="clear" w:color="000000" w:fill="auto"/>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ACLR</w:t>
            </w:r>
          </w:p>
        </w:tc>
        <w:tc>
          <w:tcPr>
            <w:tcW w:w="425" w:type="pct"/>
            <w:shd w:val="clear" w:color="000000" w:fill="auto"/>
            <w:noWrap/>
            <w:vAlign w:val="center"/>
          </w:tcPr>
          <w:p>
            <w:pPr>
              <w:jc w:val="center"/>
              <w:rPr>
                <w:rFonts w:hint="default" w:ascii="Calibri" w:hAnsi="Calibri" w:eastAsia="Times New Roman" w:cs="Times New Roman"/>
                <w:b/>
                <w:bCs/>
                <w:color w:val="auto"/>
                <w:kern w:val="2"/>
                <w:sz w:val="16"/>
                <w:szCs w:val="16"/>
                <w:lang w:val="en-US" w:eastAsia="zh-CN" w:bidi="ar-SA"/>
              </w:rPr>
            </w:pPr>
            <w:r>
              <w:rPr>
                <w:rFonts w:hint="eastAsia" w:ascii="Calibri" w:hAnsi="Calibri" w:eastAsia="Times New Roman" w:cs="Times New Roman"/>
                <w:b/>
                <w:bCs/>
                <w:color w:val="auto"/>
                <w:kern w:val="2"/>
                <w:sz w:val="16"/>
                <w:szCs w:val="16"/>
                <w:lang w:val="en-US" w:eastAsia="zh-CN" w:bidi="ar-SA"/>
              </w:rPr>
              <w:t>3.1</w:t>
            </w:r>
          </w:p>
        </w:tc>
        <w:tc>
          <w:tcPr>
            <w:tcW w:w="333" w:type="pct"/>
            <w:vMerge w:val="continue"/>
            <w:shd w:val="clear" w:color="000000" w:fill="auto"/>
            <w:noWrap/>
            <w:vAlign w:val="center"/>
          </w:tcPr>
          <w:p>
            <w:pPr>
              <w:jc w:val="center"/>
              <w:rPr>
                <w:rFonts w:hint="default" w:ascii="Calibri" w:hAnsi="Calibri" w:eastAsia="Times New Roman" w:cs="Times New Roman"/>
                <w:color w:val="auto"/>
                <w:kern w:val="2"/>
                <w:sz w:val="16"/>
                <w:szCs w:val="16"/>
                <w:lang w:val="en-US" w:eastAsia="zh-CN" w:bidi="ar-SA"/>
              </w:rPr>
            </w:pPr>
          </w:p>
        </w:tc>
        <w:tc>
          <w:tcPr>
            <w:tcW w:w="485" w:type="pct"/>
            <w:shd w:val="clear" w:color="000000" w:fill="auto"/>
            <w:noWrap/>
            <w:vAlign w:val="center"/>
          </w:tcPr>
          <w:p>
            <w:pPr>
              <w:jc w:val="center"/>
              <w:rPr>
                <w:rFonts w:hint="eastAsia" w:ascii="Calibri" w:hAnsi="Calibri" w:eastAsia="Times New Roman" w:cs="Times New Roman"/>
                <w:color w:val="auto"/>
                <w:kern w:val="2"/>
                <w:sz w:val="16"/>
                <w:szCs w:val="16"/>
                <w:lang w:val="en-US" w:eastAsia="zh-CN" w:bidi="ar-SA"/>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cs="Times New Roman"/>
                <w:b/>
                <w:bCs/>
                <w:color w:val="auto"/>
                <w:kern w:val="2"/>
                <w:sz w:val="16"/>
                <w:szCs w:val="16"/>
                <w:lang w:val="en-US" w:eastAsia="zh-CN" w:bidi="ar-SA"/>
              </w:rPr>
            </w:pPr>
            <w:r>
              <w:rPr>
                <w:rFonts w:hint="eastAsia" w:ascii="Calibri" w:hAnsi="Calibri" w:eastAsia="Times New Roman" w:cs="Times New Roman"/>
                <w:b/>
                <w:bCs/>
                <w:color w:val="auto"/>
                <w:kern w:val="2"/>
                <w:sz w:val="16"/>
                <w:szCs w:val="16"/>
                <w:lang w:val="en-US" w:eastAsia="zh-CN" w:bidi="ar-SA"/>
              </w:rPr>
              <w:t>2.71</w:t>
            </w:r>
          </w:p>
        </w:tc>
        <w:tc>
          <w:tcPr>
            <w:tcW w:w="549" w:type="pct"/>
            <w:shd w:val="clear" w:color="000000" w:fill="auto"/>
            <w:noWrap/>
            <w:vAlign w:val="center"/>
          </w:tcPr>
          <w:p>
            <w:pPr>
              <w:jc w:val="center"/>
              <w:rPr>
                <w:rFonts w:hint="eastAsia" w:ascii="Calibri" w:hAnsi="Calibri" w:eastAsia="Times New Roman" w:cs="Times New Roman"/>
                <w:color w:val="auto"/>
                <w:kern w:val="2"/>
                <w:sz w:val="16"/>
                <w:szCs w:val="16"/>
                <w:lang w:val="en-US" w:eastAsia="zh-CN" w:bidi="ar-SA"/>
              </w:rPr>
            </w:pPr>
            <w:r>
              <w:rPr>
                <w:rFonts w:hint="eastAsia" w:ascii="Calibri" w:hAnsi="Calibri" w:eastAsia="Times New Roman"/>
                <w:color w:val="auto"/>
                <w:sz w:val="16"/>
                <w:szCs w:val="16"/>
                <w:lang w:val="en-US" w:eastAsia="zh-CN"/>
              </w:rPr>
              <w:t>ACLR</w:t>
            </w:r>
          </w:p>
        </w:tc>
        <w:tc>
          <w:tcPr>
            <w:tcW w:w="353" w:type="pct"/>
            <w:shd w:val="clear" w:color="000000" w:fill="auto"/>
            <w:noWrap/>
            <w:vAlign w:val="center"/>
          </w:tcPr>
          <w:p>
            <w:pPr>
              <w:jc w:val="center"/>
              <w:rPr>
                <w:rFonts w:hint="default" w:ascii="Calibri" w:hAnsi="Calibri" w:eastAsia="Times New Roman" w:cs="Times New Roman"/>
                <w:b/>
                <w:bCs/>
                <w:color w:val="auto"/>
                <w:kern w:val="2"/>
                <w:sz w:val="16"/>
                <w:szCs w:val="16"/>
                <w:lang w:val="en-US" w:eastAsia="zh-CN" w:bidi="ar-SA"/>
              </w:rPr>
            </w:pPr>
            <w:r>
              <w:rPr>
                <w:rFonts w:hint="eastAsia" w:ascii="Calibri" w:hAnsi="Calibri" w:eastAsia="Times New Roman" w:cs="Times New Roman"/>
                <w:b/>
                <w:bCs/>
                <w:color w:val="auto"/>
                <w:kern w:val="2"/>
                <w:sz w:val="16"/>
                <w:szCs w:val="16"/>
                <w:lang w:val="en-US" w:eastAsia="zh-CN" w:bidi="ar-SA"/>
              </w:rPr>
              <w:t>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[0,20]</w:t>
            </w:r>
          </w:p>
        </w:tc>
        <w:tc>
          <w:tcPr>
            <w:tcW w:w="399" w:type="pct"/>
            <w:shd w:val="clear" w:color="000000" w:fill="auto"/>
            <w:noWrap/>
            <w:vAlign w:val="center"/>
          </w:tcPr>
          <w:p>
            <w:pPr>
              <w:jc w:val="center"/>
              <w:rPr>
                <w:rFonts w:hint="default"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15</w:t>
            </w:r>
          </w:p>
        </w:tc>
        <w:tc>
          <w:tcPr>
            <w:tcW w:w="390" w:type="pct"/>
            <w:shd w:val="clear" w:color="000000" w:fill="auto"/>
            <w:noWrap/>
            <w:vAlign w:val="center"/>
          </w:tcPr>
          <w:p>
            <w:pPr>
              <w:jc w:val="center"/>
              <w:rPr>
                <w:rFonts w:hint="default"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20</w:t>
            </w:r>
          </w:p>
        </w:tc>
        <w:tc>
          <w:tcPr>
            <w:tcW w:w="441" w:type="pct"/>
            <w:shd w:val="clear" w:color="000000" w:fill="auto"/>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ACLR</w:t>
            </w:r>
          </w:p>
        </w:tc>
        <w:tc>
          <w:tcPr>
            <w:tcW w:w="425"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2.62</w:t>
            </w:r>
          </w:p>
        </w:tc>
        <w:tc>
          <w:tcPr>
            <w:tcW w:w="333" w:type="pct"/>
            <w:vMerge w:val="continue"/>
            <w:shd w:val="clear" w:color="000000" w:fill="auto"/>
            <w:noWrap/>
            <w:vAlign w:val="center"/>
          </w:tcPr>
          <w:p>
            <w:pPr>
              <w:jc w:val="center"/>
              <w:rPr>
                <w:rFonts w:hint="eastAsia" w:ascii="Calibri" w:hAnsi="Calibri" w:eastAsia="Times New Roman"/>
                <w:color w:val="FF0000"/>
                <w:sz w:val="16"/>
                <w:szCs w:val="16"/>
                <w:lang w:val="en-US" w:eastAsia="zh-CN"/>
              </w:rPr>
            </w:pPr>
          </w:p>
        </w:tc>
        <w:tc>
          <w:tcPr>
            <w:tcW w:w="485"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2.21</w:t>
            </w:r>
          </w:p>
        </w:tc>
        <w:tc>
          <w:tcPr>
            <w:tcW w:w="549"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53"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[0,50]</w:t>
            </w:r>
          </w:p>
        </w:tc>
        <w:tc>
          <w:tcPr>
            <w:tcW w:w="399" w:type="pct"/>
            <w:shd w:val="clear" w:color="000000" w:fill="auto"/>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30</w:t>
            </w:r>
          </w:p>
        </w:tc>
        <w:tc>
          <w:tcPr>
            <w:tcW w:w="390" w:type="pct"/>
            <w:shd w:val="clear" w:color="000000" w:fill="auto"/>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50</w:t>
            </w:r>
          </w:p>
        </w:tc>
        <w:tc>
          <w:tcPr>
            <w:tcW w:w="441" w:type="pct"/>
            <w:shd w:val="clear" w:color="000000" w:fill="auto"/>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ACLR</w:t>
            </w:r>
          </w:p>
        </w:tc>
        <w:tc>
          <w:tcPr>
            <w:tcW w:w="425" w:type="pct"/>
            <w:shd w:val="clear" w:color="000000" w:fill="auto"/>
            <w:noWrap/>
            <w:vAlign w:val="center"/>
          </w:tcPr>
          <w:p>
            <w:pPr>
              <w:jc w:val="center"/>
              <w:rPr>
                <w:rFonts w:hint="default" w:ascii="Calibri" w:hAnsi="Calibri" w:eastAsia="Times New Roman" w:cs="Times New Roman"/>
                <w:b/>
                <w:bCs/>
                <w:color w:val="auto"/>
                <w:kern w:val="2"/>
                <w:sz w:val="16"/>
                <w:szCs w:val="16"/>
                <w:lang w:val="en-US" w:eastAsia="zh-CN" w:bidi="ar-SA"/>
              </w:rPr>
            </w:pPr>
            <w:r>
              <w:rPr>
                <w:rFonts w:hint="eastAsia" w:ascii="Calibri" w:hAnsi="Calibri" w:eastAsia="Times New Roman" w:cs="Times New Roman"/>
                <w:b/>
                <w:bCs/>
                <w:color w:val="auto"/>
                <w:kern w:val="2"/>
                <w:sz w:val="16"/>
                <w:szCs w:val="16"/>
                <w:lang w:val="en-US" w:eastAsia="zh-CN" w:bidi="ar-SA"/>
              </w:rPr>
              <w:t>3.15</w:t>
            </w:r>
          </w:p>
        </w:tc>
        <w:tc>
          <w:tcPr>
            <w:tcW w:w="333" w:type="pct"/>
            <w:vMerge w:val="continue"/>
            <w:shd w:val="clear" w:color="000000" w:fill="auto"/>
            <w:noWrap/>
            <w:vAlign w:val="center"/>
          </w:tcPr>
          <w:p>
            <w:pPr>
              <w:jc w:val="center"/>
              <w:rPr>
                <w:rFonts w:hint="eastAsia" w:ascii="Calibri" w:hAnsi="Calibri" w:eastAsia="Times New Roman"/>
                <w:color w:val="FF0000"/>
                <w:sz w:val="16"/>
                <w:szCs w:val="16"/>
                <w:lang w:val="en-US" w:eastAsia="zh-CN"/>
              </w:rPr>
            </w:pPr>
          </w:p>
        </w:tc>
        <w:tc>
          <w:tcPr>
            <w:tcW w:w="485" w:type="pct"/>
            <w:shd w:val="clear" w:color="000000" w:fill="auto"/>
            <w:noWrap/>
            <w:vAlign w:val="center"/>
          </w:tcPr>
          <w:p>
            <w:pPr>
              <w:jc w:val="center"/>
              <w:rPr>
                <w:rFonts w:hint="eastAsia" w:ascii="Calibri" w:hAnsi="Calibri" w:eastAsia="Times New Roman" w:cs="Times New Roman"/>
                <w:color w:val="auto"/>
                <w:kern w:val="2"/>
                <w:sz w:val="16"/>
                <w:szCs w:val="16"/>
                <w:lang w:val="en-US" w:eastAsia="zh-CN" w:bidi="ar-SA"/>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cs="Times New Roman"/>
                <w:b/>
                <w:bCs/>
                <w:color w:val="auto"/>
                <w:kern w:val="2"/>
                <w:sz w:val="16"/>
                <w:szCs w:val="16"/>
                <w:lang w:val="en-US" w:eastAsia="zh-CN" w:bidi="ar-SA"/>
              </w:rPr>
            </w:pPr>
            <w:r>
              <w:rPr>
                <w:rFonts w:hint="eastAsia" w:ascii="Calibri" w:hAnsi="Calibri" w:eastAsia="Times New Roman" w:cs="Times New Roman"/>
                <w:b/>
                <w:bCs/>
                <w:color w:val="auto"/>
                <w:kern w:val="2"/>
                <w:sz w:val="16"/>
                <w:szCs w:val="16"/>
                <w:lang w:val="en-US" w:eastAsia="zh-CN" w:bidi="ar-SA"/>
              </w:rPr>
              <w:t>2.75</w:t>
            </w:r>
          </w:p>
        </w:tc>
        <w:tc>
          <w:tcPr>
            <w:tcW w:w="549" w:type="pct"/>
            <w:shd w:val="clear" w:color="000000" w:fill="auto"/>
            <w:noWrap/>
            <w:vAlign w:val="center"/>
          </w:tcPr>
          <w:p>
            <w:pPr>
              <w:jc w:val="center"/>
              <w:rPr>
                <w:rFonts w:hint="eastAsia" w:ascii="Calibri" w:hAnsi="Calibri" w:eastAsia="Times New Roman" w:cs="Times New Roman"/>
                <w:color w:val="auto"/>
                <w:kern w:val="2"/>
                <w:sz w:val="16"/>
                <w:szCs w:val="16"/>
                <w:lang w:val="en-US" w:eastAsia="zh-CN" w:bidi="ar-SA"/>
              </w:rPr>
            </w:pPr>
            <w:r>
              <w:rPr>
                <w:rFonts w:hint="eastAsia" w:ascii="Calibri" w:hAnsi="Calibri" w:eastAsia="Times New Roman"/>
                <w:color w:val="auto"/>
                <w:sz w:val="16"/>
                <w:szCs w:val="16"/>
                <w:lang w:val="en-US" w:eastAsia="zh-CN"/>
              </w:rPr>
              <w:t>ACLR</w:t>
            </w:r>
          </w:p>
        </w:tc>
        <w:tc>
          <w:tcPr>
            <w:tcW w:w="353" w:type="pct"/>
            <w:shd w:val="clear" w:color="000000" w:fill="auto"/>
            <w:noWrap/>
            <w:vAlign w:val="center"/>
          </w:tcPr>
          <w:p>
            <w:pPr>
              <w:jc w:val="center"/>
              <w:rPr>
                <w:rFonts w:hint="default" w:ascii="Calibri" w:hAnsi="Calibri" w:eastAsia="Times New Roman" w:cs="Times New Roman"/>
                <w:b/>
                <w:bCs/>
                <w:color w:val="auto"/>
                <w:kern w:val="2"/>
                <w:sz w:val="16"/>
                <w:szCs w:val="16"/>
                <w:lang w:val="en-US" w:eastAsia="zh-CN" w:bidi="ar-SA"/>
              </w:rPr>
            </w:pPr>
            <w:r>
              <w:rPr>
                <w:rFonts w:hint="eastAsia" w:ascii="Calibri" w:hAnsi="Calibri" w:eastAsia="Times New Roman" w:cs="Times New Roman"/>
                <w:b/>
                <w:bCs/>
                <w:color w:val="auto"/>
                <w:kern w:val="2"/>
                <w:sz w:val="16"/>
                <w:szCs w:val="16"/>
                <w:lang w:val="en-US" w:eastAsia="zh-CN" w:bidi="ar-SA"/>
              </w:rPr>
              <w:t>2.38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[0,20]</w:t>
            </w:r>
          </w:p>
        </w:tc>
        <w:tc>
          <w:tcPr>
            <w:tcW w:w="399" w:type="pct"/>
            <w:shd w:val="clear" w:color="000000" w:fill="auto"/>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30</w:t>
            </w:r>
          </w:p>
        </w:tc>
        <w:tc>
          <w:tcPr>
            <w:tcW w:w="390" w:type="pct"/>
            <w:shd w:val="clear" w:color="000000" w:fill="auto"/>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50</w:t>
            </w:r>
          </w:p>
        </w:tc>
        <w:tc>
          <w:tcPr>
            <w:tcW w:w="441" w:type="pct"/>
            <w:shd w:val="clear" w:color="000000" w:fill="auto"/>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ACLR</w:t>
            </w:r>
          </w:p>
        </w:tc>
        <w:tc>
          <w:tcPr>
            <w:tcW w:w="425" w:type="pct"/>
            <w:shd w:val="clear" w:color="000000" w:fill="auto"/>
            <w:noWrap/>
            <w:vAlign w:val="center"/>
          </w:tcPr>
          <w:p>
            <w:pPr>
              <w:jc w:val="center"/>
              <w:rPr>
                <w:rFonts w:hint="default" w:ascii="Calibri" w:hAnsi="Calibri" w:eastAsia="Times New Roman" w:cs="Times New Roman"/>
                <w:b/>
                <w:bCs/>
                <w:color w:val="auto"/>
                <w:kern w:val="2"/>
                <w:sz w:val="16"/>
                <w:szCs w:val="16"/>
                <w:lang w:val="en-US" w:eastAsia="zh-CN" w:bidi="ar-SA"/>
              </w:rPr>
            </w:pPr>
            <w:r>
              <w:rPr>
                <w:rFonts w:hint="eastAsia" w:ascii="Calibri" w:hAnsi="Calibri" w:eastAsia="Times New Roman" w:cs="Times New Roman"/>
                <w:b/>
                <w:bCs/>
                <w:color w:val="auto"/>
                <w:kern w:val="2"/>
                <w:sz w:val="16"/>
                <w:szCs w:val="16"/>
                <w:lang w:val="en-US" w:eastAsia="zh-CN" w:bidi="ar-SA"/>
              </w:rPr>
              <w:t>2.75</w:t>
            </w:r>
          </w:p>
        </w:tc>
        <w:tc>
          <w:tcPr>
            <w:tcW w:w="333" w:type="pct"/>
            <w:vMerge w:val="continue"/>
            <w:shd w:val="clear" w:color="000000" w:fill="auto"/>
            <w:noWrap/>
            <w:vAlign w:val="center"/>
          </w:tcPr>
          <w:p>
            <w:pPr>
              <w:jc w:val="center"/>
              <w:rPr>
                <w:rFonts w:hint="eastAsia" w:ascii="Calibri" w:hAnsi="Calibri" w:eastAsia="Times New Roman"/>
                <w:color w:val="FF0000"/>
                <w:sz w:val="16"/>
                <w:szCs w:val="16"/>
                <w:lang w:val="en-US" w:eastAsia="zh-CN"/>
              </w:rPr>
            </w:pPr>
          </w:p>
        </w:tc>
        <w:tc>
          <w:tcPr>
            <w:tcW w:w="485" w:type="pct"/>
            <w:shd w:val="clear" w:color="000000" w:fill="auto"/>
            <w:noWrap/>
            <w:vAlign w:val="center"/>
          </w:tcPr>
          <w:p>
            <w:pPr>
              <w:jc w:val="center"/>
              <w:rPr>
                <w:rFonts w:hint="default" w:ascii="Calibri" w:hAnsi="Calibri" w:eastAsia="Times New Roman" w:cs="Times New Roman"/>
                <w:color w:val="auto"/>
                <w:kern w:val="2"/>
                <w:sz w:val="16"/>
                <w:szCs w:val="16"/>
                <w:lang w:val="en-US" w:eastAsia="zh-CN" w:bidi="ar-SA"/>
              </w:rPr>
            </w:pPr>
            <w:r>
              <w:rPr>
                <w:rFonts w:hint="eastAsia" w:ascii="Calibri" w:hAnsi="Calibri" w:eastAsia="Times New Roman" w:cs="Times New Roman"/>
                <w:color w:val="auto"/>
                <w:kern w:val="2"/>
                <w:sz w:val="16"/>
                <w:szCs w:val="16"/>
                <w:lang w:val="en-US" w:eastAsia="zh-CN" w:bidi="ar-SA"/>
              </w:rPr>
              <w:t>ACLR</w:t>
            </w:r>
          </w:p>
        </w:tc>
        <w:tc>
          <w:tcPr>
            <w:tcW w:w="421" w:type="pct"/>
            <w:shd w:val="clear" w:color="000000" w:fill="auto"/>
            <w:noWrap/>
            <w:vAlign w:val="center"/>
          </w:tcPr>
          <w:p>
            <w:pPr>
              <w:jc w:val="center"/>
              <w:rPr>
                <w:rFonts w:hint="default" w:ascii="Calibri" w:hAnsi="Calibri" w:eastAsia="Times New Roman" w:cs="Times New Roman"/>
                <w:b/>
                <w:bCs/>
                <w:color w:val="auto"/>
                <w:kern w:val="2"/>
                <w:sz w:val="16"/>
                <w:szCs w:val="16"/>
                <w:lang w:val="en-US" w:eastAsia="zh-CN" w:bidi="ar-SA"/>
              </w:rPr>
            </w:pPr>
            <w:r>
              <w:rPr>
                <w:rFonts w:hint="eastAsia" w:ascii="Calibri" w:hAnsi="Calibri" w:eastAsia="Times New Roman" w:cs="Times New Roman"/>
                <w:b/>
                <w:bCs/>
                <w:color w:val="auto"/>
                <w:kern w:val="2"/>
                <w:sz w:val="16"/>
                <w:szCs w:val="16"/>
                <w:lang w:val="en-US" w:eastAsia="zh-CN" w:bidi="ar-SA"/>
              </w:rPr>
              <w:t>2.3</w:t>
            </w:r>
          </w:p>
        </w:tc>
        <w:tc>
          <w:tcPr>
            <w:tcW w:w="549" w:type="pct"/>
            <w:shd w:val="clear" w:color="000000" w:fill="auto"/>
            <w:noWrap/>
            <w:vAlign w:val="center"/>
          </w:tcPr>
          <w:p>
            <w:pPr>
              <w:jc w:val="center"/>
              <w:rPr>
                <w:rFonts w:hint="default" w:ascii="Calibri" w:hAnsi="Calibri" w:eastAsia="Times New Roman" w:cs="Times New Roman"/>
                <w:color w:val="auto"/>
                <w:kern w:val="2"/>
                <w:sz w:val="16"/>
                <w:szCs w:val="16"/>
                <w:lang w:val="en-US" w:eastAsia="zh-CN" w:bidi="ar-SA"/>
              </w:rPr>
            </w:pPr>
            <w:r>
              <w:rPr>
                <w:rFonts w:hint="eastAsia" w:ascii="Calibri" w:hAnsi="Calibri" w:eastAsia="Times New Roman" w:cs="Times New Roman"/>
                <w:color w:val="auto"/>
                <w:kern w:val="2"/>
                <w:sz w:val="16"/>
                <w:szCs w:val="16"/>
                <w:lang w:val="en-US" w:eastAsia="zh-CN" w:bidi="ar-SA"/>
              </w:rPr>
              <w:t>ACLR</w:t>
            </w:r>
          </w:p>
        </w:tc>
        <w:tc>
          <w:tcPr>
            <w:tcW w:w="353" w:type="pct"/>
            <w:shd w:val="clear" w:color="000000" w:fill="auto"/>
            <w:noWrap/>
            <w:vAlign w:val="center"/>
          </w:tcPr>
          <w:p>
            <w:pPr>
              <w:jc w:val="center"/>
              <w:rPr>
                <w:rFonts w:hint="default" w:ascii="Calibri" w:hAnsi="Calibri" w:eastAsia="Times New Roman" w:cs="Times New Roman"/>
                <w:b/>
                <w:bCs/>
                <w:color w:val="auto"/>
                <w:kern w:val="2"/>
                <w:sz w:val="16"/>
                <w:szCs w:val="16"/>
                <w:lang w:val="en-US" w:eastAsia="zh-CN" w:bidi="ar-SA"/>
              </w:rPr>
            </w:pPr>
            <w:r>
              <w:rPr>
                <w:rFonts w:hint="eastAsia" w:ascii="Calibri" w:hAnsi="Calibri" w:eastAsia="Times New Roman" w:cs="Times New Roman"/>
                <w:b/>
                <w:bCs/>
                <w:color w:val="auto"/>
                <w:kern w:val="2"/>
                <w:sz w:val="16"/>
                <w:szCs w:val="16"/>
                <w:lang w:val="en-US" w:eastAsia="zh-CN" w:bidi="ar-SA"/>
              </w:rPr>
              <w:t>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[0,50]</w:t>
            </w:r>
          </w:p>
        </w:tc>
        <w:tc>
          <w:tcPr>
            <w:tcW w:w="399" w:type="pct"/>
            <w:shd w:val="clear" w:color="000000" w:fill="auto"/>
            <w:noWrap/>
            <w:vAlign w:val="center"/>
          </w:tcPr>
          <w:p>
            <w:pPr>
              <w:jc w:val="center"/>
              <w:rPr>
                <w:rFonts w:hint="default"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60</w:t>
            </w:r>
          </w:p>
        </w:tc>
        <w:tc>
          <w:tcPr>
            <w:tcW w:w="390" w:type="pct"/>
            <w:shd w:val="clear" w:color="000000" w:fill="auto"/>
            <w:noWrap/>
            <w:vAlign w:val="center"/>
          </w:tcPr>
          <w:p>
            <w:pPr>
              <w:jc w:val="center"/>
              <w:rPr>
                <w:rFonts w:hint="default"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80</w:t>
            </w:r>
          </w:p>
        </w:tc>
        <w:tc>
          <w:tcPr>
            <w:tcW w:w="441" w:type="pct"/>
            <w:shd w:val="clear" w:color="000000" w:fill="auto"/>
            <w:noWrap/>
            <w:vAlign w:val="center"/>
          </w:tcPr>
          <w:p>
            <w:pPr>
              <w:jc w:val="center"/>
              <w:rPr>
                <w:rFonts w:hint="default"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ACLR</w:t>
            </w:r>
          </w:p>
        </w:tc>
        <w:tc>
          <w:tcPr>
            <w:tcW w:w="425"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3.29</w:t>
            </w:r>
          </w:p>
        </w:tc>
        <w:tc>
          <w:tcPr>
            <w:tcW w:w="333" w:type="pct"/>
            <w:vMerge w:val="continue"/>
            <w:shd w:val="clear" w:color="000000" w:fill="auto"/>
            <w:noWrap/>
            <w:vAlign w:val="center"/>
          </w:tcPr>
          <w:p>
            <w:pPr>
              <w:jc w:val="center"/>
              <w:rPr>
                <w:rFonts w:hint="default" w:ascii="Calibri" w:hAnsi="Calibri" w:eastAsia="Times New Roman"/>
                <w:color w:val="auto"/>
                <w:sz w:val="16"/>
                <w:szCs w:val="16"/>
                <w:lang w:val="en-US" w:eastAsia="zh-CN"/>
              </w:rPr>
            </w:pPr>
          </w:p>
        </w:tc>
        <w:tc>
          <w:tcPr>
            <w:tcW w:w="485"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2.85</w:t>
            </w:r>
          </w:p>
        </w:tc>
        <w:tc>
          <w:tcPr>
            <w:tcW w:w="549"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53"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[0,20]</w:t>
            </w:r>
          </w:p>
        </w:tc>
        <w:tc>
          <w:tcPr>
            <w:tcW w:w="399" w:type="pct"/>
            <w:shd w:val="clear" w:color="000000" w:fill="auto"/>
            <w:noWrap/>
            <w:vAlign w:val="center"/>
          </w:tcPr>
          <w:p>
            <w:pPr>
              <w:jc w:val="center"/>
              <w:rPr>
                <w:rFonts w:hint="default"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60</w:t>
            </w:r>
          </w:p>
        </w:tc>
        <w:tc>
          <w:tcPr>
            <w:tcW w:w="390" w:type="pct"/>
            <w:shd w:val="clear" w:color="000000" w:fill="auto"/>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80</w:t>
            </w:r>
          </w:p>
        </w:tc>
        <w:tc>
          <w:tcPr>
            <w:tcW w:w="441" w:type="pct"/>
            <w:shd w:val="clear" w:color="000000" w:fill="auto"/>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ACLR</w:t>
            </w:r>
          </w:p>
        </w:tc>
        <w:tc>
          <w:tcPr>
            <w:tcW w:w="425"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3.1</w:t>
            </w:r>
          </w:p>
        </w:tc>
        <w:tc>
          <w:tcPr>
            <w:tcW w:w="333" w:type="pct"/>
            <w:vMerge w:val="continue"/>
            <w:shd w:val="clear" w:color="000000" w:fill="auto"/>
            <w:noWrap/>
            <w:vAlign w:val="center"/>
          </w:tcPr>
          <w:p>
            <w:pPr>
              <w:jc w:val="center"/>
              <w:rPr>
                <w:rFonts w:hint="default" w:ascii="Calibri" w:hAnsi="Calibri" w:eastAsia="Times New Roman"/>
                <w:color w:val="auto"/>
                <w:sz w:val="16"/>
                <w:szCs w:val="16"/>
                <w:lang w:val="en-US" w:eastAsia="zh-CN"/>
              </w:rPr>
            </w:pPr>
          </w:p>
        </w:tc>
        <w:tc>
          <w:tcPr>
            <w:tcW w:w="485" w:type="pct"/>
            <w:shd w:val="clear" w:color="000000" w:fill="auto"/>
            <w:noWrap/>
            <w:vAlign w:val="center"/>
          </w:tcPr>
          <w:p>
            <w:pPr>
              <w:jc w:val="center"/>
              <w:rPr>
                <w:rFonts w:hint="eastAsia"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2.67</w:t>
            </w:r>
          </w:p>
        </w:tc>
        <w:tc>
          <w:tcPr>
            <w:tcW w:w="549" w:type="pct"/>
            <w:shd w:val="clear" w:color="000000" w:fill="auto"/>
            <w:noWrap/>
            <w:vAlign w:val="center"/>
          </w:tcPr>
          <w:p>
            <w:pPr>
              <w:jc w:val="center"/>
              <w:rPr>
                <w:rFonts w:hint="eastAsia"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53"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24" w:type="pct"/>
            <w:vMerge w:val="restart"/>
            <w:shd w:val="clear" w:color="auto" w:fill="auto"/>
            <w:noWrap/>
            <w:vAlign w:val="center"/>
          </w:tcPr>
          <w:p>
            <w:pPr>
              <w:jc w:val="center"/>
              <w:rPr>
                <w:rFonts w:hint="default"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w:t>
            </w:r>
            <w:r>
              <w:rPr>
                <w:rFonts w:hint="eastAsia" w:ascii="Calibri" w:hAnsi="Calibri" w:eastAsia="Times New Roman"/>
                <w:color w:val="000000"/>
                <w:sz w:val="16"/>
                <w:szCs w:val="16"/>
                <w:lang w:val="en-US" w:eastAsia="zh-CN"/>
              </w:rPr>
              <w:t>16QAM</w:t>
            </w:r>
          </w:p>
        </w:tc>
        <w:tc>
          <w:tcPr>
            <w:tcW w:w="574"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[0,25]</w:t>
            </w:r>
          </w:p>
        </w:tc>
        <w:tc>
          <w:tcPr>
            <w:tcW w:w="399"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15</w:t>
            </w:r>
          </w:p>
        </w:tc>
        <w:tc>
          <w:tcPr>
            <w:tcW w:w="390"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5</w:t>
            </w:r>
          </w:p>
        </w:tc>
        <w:tc>
          <w:tcPr>
            <w:tcW w:w="441" w:type="pct"/>
            <w:shd w:val="clear" w:color="000000" w:fill="auto"/>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ACLR</w:t>
            </w:r>
          </w:p>
        </w:tc>
        <w:tc>
          <w:tcPr>
            <w:tcW w:w="425" w:type="pct"/>
            <w:shd w:val="clear" w:color="000000" w:fill="auto"/>
            <w:noWrap/>
            <w:vAlign w:val="center"/>
          </w:tcPr>
          <w:p>
            <w:pPr>
              <w:jc w:val="center"/>
              <w:rPr>
                <w:rFonts w:hint="default" w:ascii="Calibri" w:hAnsi="Calibri" w:eastAsia="Times New Roman" w:cs="Times New Roman"/>
                <w:b/>
                <w:bCs/>
                <w:color w:val="auto"/>
                <w:kern w:val="2"/>
                <w:sz w:val="16"/>
                <w:szCs w:val="16"/>
                <w:lang w:val="en-US" w:eastAsia="zh-CN" w:bidi="ar-SA"/>
              </w:rPr>
            </w:pPr>
            <w:r>
              <w:rPr>
                <w:rFonts w:hint="eastAsia" w:ascii="Calibri" w:hAnsi="Calibri" w:eastAsia="Times New Roman" w:cs="Times New Roman"/>
                <w:b/>
                <w:bCs/>
                <w:color w:val="auto"/>
                <w:kern w:val="2"/>
                <w:sz w:val="16"/>
                <w:szCs w:val="16"/>
                <w:lang w:val="en-US" w:eastAsia="zh-CN" w:bidi="ar-SA"/>
              </w:rPr>
              <w:t>2.97</w:t>
            </w:r>
          </w:p>
        </w:tc>
        <w:tc>
          <w:tcPr>
            <w:tcW w:w="333" w:type="pct"/>
            <w:vMerge w:val="restar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3</w:t>
            </w:r>
          </w:p>
        </w:tc>
        <w:tc>
          <w:tcPr>
            <w:tcW w:w="485"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2.58</w:t>
            </w:r>
          </w:p>
        </w:tc>
        <w:tc>
          <w:tcPr>
            <w:tcW w:w="549"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53"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ascii="Calibri" w:hAnsi="Calibri" w:eastAsia="Times New Roman"/>
                <w:color w:val="000000"/>
                <w:sz w:val="16"/>
                <w:szCs w:val="16"/>
                <w:highlight w:val="none"/>
                <w:lang w:val="en-US" w:eastAsia="zh-CN"/>
              </w:rPr>
            </w:pPr>
            <w:r>
              <w:rPr>
                <w:rFonts w:ascii="Calibri" w:hAnsi="Calibri" w:eastAsia="Times New Roman"/>
                <w:color w:val="000000"/>
                <w:sz w:val="16"/>
                <w:szCs w:val="16"/>
                <w:highlight w:val="none"/>
                <w:lang w:val="en-US" w:eastAsia="zh-CN"/>
              </w:rPr>
              <w:t xml:space="preserve"> [0,106]</w:t>
            </w:r>
          </w:p>
        </w:tc>
        <w:tc>
          <w:tcPr>
            <w:tcW w:w="399" w:type="pct"/>
            <w:shd w:val="clear" w:color="000000" w:fill="auto"/>
            <w:noWrap/>
            <w:vAlign w:val="center"/>
          </w:tcPr>
          <w:p>
            <w:pPr>
              <w:jc w:val="center"/>
              <w:rPr>
                <w:rFonts w:ascii="Calibri" w:hAnsi="Calibri" w:eastAsia="Times New Roman"/>
                <w:color w:val="000000"/>
                <w:sz w:val="16"/>
                <w:szCs w:val="16"/>
                <w:highlight w:val="none"/>
                <w:lang w:val="en-US" w:eastAsia="zh-CN"/>
              </w:rPr>
            </w:pPr>
            <w:r>
              <w:rPr>
                <w:rFonts w:ascii="Calibri" w:hAnsi="Calibri" w:eastAsia="Times New Roman"/>
                <w:color w:val="000000"/>
                <w:sz w:val="16"/>
                <w:szCs w:val="16"/>
                <w:highlight w:val="none"/>
                <w:lang w:val="en-US" w:eastAsia="zh-CN"/>
              </w:rPr>
              <w:t>15</w:t>
            </w:r>
          </w:p>
        </w:tc>
        <w:tc>
          <w:tcPr>
            <w:tcW w:w="390" w:type="pct"/>
            <w:shd w:val="clear" w:color="000000" w:fill="auto"/>
            <w:noWrap/>
            <w:vAlign w:val="center"/>
          </w:tcPr>
          <w:p>
            <w:pPr>
              <w:jc w:val="center"/>
              <w:rPr>
                <w:rFonts w:ascii="Calibri" w:hAnsi="Calibri" w:eastAsia="Times New Roman"/>
                <w:color w:val="000000"/>
                <w:sz w:val="16"/>
                <w:szCs w:val="16"/>
                <w:highlight w:val="none"/>
                <w:lang w:val="en-US" w:eastAsia="zh-CN"/>
              </w:rPr>
            </w:pPr>
            <w:r>
              <w:rPr>
                <w:rFonts w:ascii="Calibri" w:hAnsi="Calibri" w:eastAsia="Times New Roman"/>
                <w:color w:val="000000"/>
                <w:sz w:val="16"/>
                <w:szCs w:val="16"/>
                <w:highlight w:val="none"/>
                <w:lang w:val="en-US" w:eastAsia="zh-CN"/>
              </w:rPr>
              <w:t>20</w:t>
            </w:r>
          </w:p>
        </w:tc>
        <w:tc>
          <w:tcPr>
            <w:tcW w:w="441" w:type="pct"/>
            <w:shd w:val="clear" w:color="000000" w:fill="auto"/>
            <w:noWrap/>
            <w:vAlign w:val="center"/>
          </w:tcPr>
          <w:p>
            <w:pPr>
              <w:jc w:val="center"/>
              <w:rPr>
                <w:rFonts w:hint="default" w:ascii="Calibri" w:hAnsi="Calibri" w:eastAsia="Times New Roman"/>
                <w:color w:val="000000"/>
                <w:sz w:val="16"/>
                <w:szCs w:val="16"/>
                <w:highlight w:val="none"/>
                <w:lang w:val="en-US" w:eastAsia="zh-CN"/>
              </w:rPr>
            </w:pPr>
            <w:r>
              <w:rPr>
                <w:rFonts w:hint="eastAsia" w:ascii="Calibri" w:hAnsi="Calibri" w:eastAsia="Times New Roman"/>
                <w:color w:val="000000"/>
                <w:sz w:val="16"/>
                <w:szCs w:val="16"/>
                <w:highlight w:val="none"/>
                <w:lang w:val="en-US" w:eastAsia="zh-CN"/>
              </w:rPr>
              <w:t>ACLR</w:t>
            </w:r>
          </w:p>
        </w:tc>
        <w:tc>
          <w:tcPr>
            <w:tcW w:w="425" w:type="pct"/>
            <w:shd w:val="clear" w:color="000000" w:fill="auto"/>
            <w:noWrap/>
            <w:vAlign w:val="center"/>
          </w:tcPr>
          <w:p>
            <w:pPr>
              <w:jc w:val="center"/>
              <w:rPr>
                <w:rFonts w:hint="default" w:ascii="Calibri" w:hAnsi="Calibri" w:eastAsia="Times New Roman" w:cs="Times New Roman"/>
                <w:b/>
                <w:bCs/>
                <w:color w:val="auto"/>
                <w:kern w:val="2"/>
                <w:sz w:val="16"/>
                <w:szCs w:val="16"/>
                <w:highlight w:val="none"/>
                <w:lang w:val="en-US" w:eastAsia="zh-CN" w:bidi="ar-SA"/>
              </w:rPr>
            </w:pPr>
            <w:r>
              <w:rPr>
                <w:rFonts w:hint="eastAsia" w:ascii="Calibri" w:hAnsi="Calibri" w:eastAsia="Times New Roman" w:cs="Times New Roman"/>
                <w:b/>
                <w:bCs/>
                <w:color w:val="auto"/>
                <w:kern w:val="2"/>
                <w:sz w:val="16"/>
                <w:szCs w:val="16"/>
                <w:highlight w:val="none"/>
                <w:lang w:val="en-US" w:eastAsia="zh-CN" w:bidi="ar-SA"/>
              </w:rPr>
              <w:t>3.15</w:t>
            </w:r>
          </w:p>
        </w:tc>
        <w:tc>
          <w:tcPr>
            <w:tcW w:w="333" w:type="pct"/>
            <w:vMerge w:val="continue"/>
            <w:shd w:val="clear" w:color="000000" w:fill="auto"/>
            <w:noWrap/>
            <w:vAlign w:val="center"/>
          </w:tcPr>
          <w:p>
            <w:pPr>
              <w:jc w:val="center"/>
              <w:rPr>
                <w:rFonts w:hint="eastAsia" w:ascii="Calibri" w:hAnsi="Calibri" w:eastAsia="Times New Roman"/>
                <w:color w:val="auto"/>
                <w:sz w:val="16"/>
                <w:szCs w:val="16"/>
                <w:lang w:val="en-US" w:eastAsia="zh-CN"/>
              </w:rPr>
            </w:pPr>
          </w:p>
        </w:tc>
        <w:tc>
          <w:tcPr>
            <w:tcW w:w="485"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2.76</w:t>
            </w:r>
          </w:p>
        </w:tc>
        <w:tc>
          <w:tcPr>
            <w:tcW w:w="549"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53"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[0,270]</w:t>
            </w:r>
          </w:p>
        </w:tc>
        <w:tc>
          <w:tcPr>
            <w:tcW w:w="399"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15</w:t>
            </w:r>
          </w:p>
        </w:tc>
        <w:tc>
          <w:tcPr>
            <w:tcW w:w="390"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50</w:t>
            </w:r>
          </w:p>
        </w:tc>
        <w:tc>
          <w:tcPr>
            <w:tcW w:w="441" w:type="pct"/>
            <w:shd w:val="clear" w:color="000000" w:fill="auto"/>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ACLR</w:t>
            </w:r>
          </w:p>
        </w:tc>
        <w:tc>
          <w:tcPr>
            <w:tcW w:w="425" w:type="pct"/>
            <w:shd w:val="clear" w:color="000000" w:fill="auto"/>
            <w:noWrap/>
            <w:vAlign w:val="center"/>
          </w:tcPr>
          <w:p>
            <w:pPr>
              <w:jc w:val="center"/>
              <w:rPr>
                <w:rFonts w:hint="default" w:ascii="Calibri" w:hAnsi="Calibri" w:eastAsia="Times New Roman" w:cs="Times New Roman"/>
                <w:b/>
                <w:bCs/>
                <w:color w:val="auto"/>
                <w:kern w:val="2"/>
                <w:sz w:val="16"/>
                <w:szCs w:val="16"/>
                <w:lang w:val="en-US" w:eastAsia="zh-CN" w:bidi="ar-SA"/>
              </w:rPr>
            </w:pPr>
            <w:r>
              <w:rPr>
                <w:rFonts w:hint="eastAsia" w:ascii="Calibri" w:hAnsi="Calibri" w:eastAsia="Times New Roman" w:cs="Times New Roman"/>
                <w:b/>
                <w:bCs/>
                <w:color w:val="auto"/>
                <w:kern w:val="2"/>
                <w:sz w:val="16"/>
                <w:szCs w:val="16"/>
                <w:lang w:val="en-US" w:eastAsia="zh-CN" w:bidi="ar-SA"/>
              </w:rPr>
              <w:t>3.2</w:t>
            </w:r>
          </w:p>
        </w:tc>
        <w:tc>
          <w:tcPr>
            <w:tcW w:w="333" w:type="pct"/>
            <w:vMerge w:val="continue"/>
            <w:shd w:val="clear" w:color="000000" w:fill="auto"/>
            <w:noWrap/>
            <w:vAlign w:val="center"/>
          </w:tcPr>
          <w:p>
            <w:pPr>
              <w:jc w:val="center"/>
              <w:rPr>
                <w:rFonts w:hint="eastAsia" w:ascii="Calibri" w:hAnsi="Calibri" w:eastAsia="Times New Roman"/>
                <w:color w:val="auto"/>
                <w:sz w:val="16"/>
                <w:szCs w:val="16"/>
                <w:lang w:val="en-US" w:eastAsia="zh-CN"/>
              </w:rPr>
            </w:pPr>
          </w:p>
        </w:tc>
        <w:tc>
          <w:tcPr>
            <w:tcW w:w="485"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2.84</w:t>
            </w:r>
          </w:p>
        </w:tc>
        <w:tc>
          <w:tcPr>
            <w:tcW w:w="549"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53"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[0,133]</w:t>
            </w:r>
          </w:p>
        </w:tc>
        <w:tc>
          <w:tcPr>
            <w:tcW w:w="399"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30</w:t>
            </w:r>
          </w:p>
        </w:tc>
        <w:tc>
          <w:tcPr>
            <w:tcW w:w="390"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50</w:t>
            </w:r>
          </w:p>
        </w:tc>
        <w:tc>
          <w:tcPr>
            <w:tcW w:w="441" w:type="pct"/>
            <w:shd w:val="clear" w:color="000000" w:fill="auto"/>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ACLR</w:t>
            </w:r>
          </w:p>
        </w:tc>
        <w:tc>
          <w:tcPr>
            <w:tcW w:w="425" w:type="pct"/>
            <w:shd w:val="clear" w:color="000000" w:fill="auto"/>
            <w:noWrap/>
            <w:vAlign w:val="center"/>
          </w:tcPr>
          <w:p>
            <w:pPr>
              <w:jc w:val="center"/>
              <w:rPr>
                <w:rFonts w:hint="default" w:ascii="Calibri" w:hAnsi="Calibri" w:eastAsia="Times New Roman" w:cs="Times New Roman"/>
                <w:b/>
                <w:bCs/>
                <w:color w:val="auto"/>
                <w:kern w:val="2"/>
                <w:sz w:val="16"/>
                <w:szCs w:val="16"/>
                <w:lang w:val="en-US" w:eastAsia="zh-CN" w:bidi="ar-SA"/>
              </w:rPr>
            </w:pPr>
            <w:r>
              <w:rPr>
                <w:rFonts w:hint="eastAsia" w:ascii="Calibri" w:hAnsi="Calibri" w:eastAsia="Times New Roman" w:cs="Times New Roman"/>
                <w:b/>
                <w:bCs/>
                <w:color w:val="auto"/>
                <w:kern w:val="2"/>
                <w:sz w:val="16"/>
                <w:szCs w:val="16"/>
                <w:lang w:val="en-US" w:eastAsia="zh-CN" w:bidi="ar-SA"/>
              </w:rPr>
              <w:t>3.2</w:t>
            </w:r>
          </w:p>
        </w:tc>
        <w:tc>
          <w:tcPr>
            <w:tcW w:w="333" w:type="pct"/>
            <w:vMerge w:val="continue"/>
            <w:shd w:val="clear" w:color="000000" w:fill="auto"/>
            <w:noWrap/>
            <w:vAlign w:val="center"/>
          </w:tcPr>
          <w:p>
            <w:pPr>
              <w:jc w:val="center"/>
              <w:rPr>
                <w:rFonts w:hint="eastAsia" w:ascii="Calibri" w:hAnsi="Calibri" w:eastAsia="Times New Roman"/>
                <w:color w:val="auto"/>
                <w:sz w:val="16"/>
                <w:szCs w:val="16"/>
                <w:lang w:val="en-US" w:eastAsia="zh-CN"/>
              </w:rPr>
            </w:pPr>
          </w:p>
        </w:tc>
        <w:tc>
          <w:tcPr>
            <w:tcW w:w="485"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2.84</w:t>
            </w:r>
          </w:p>
        </w:tc>
        <w:tc>
          <w:tcPr>
            <w:tcW w:w="549"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53"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[0,273]</w:t>
            </w:r>
          </w:p>
        </w:tc>
        <w:tc>
          <w:tcPr>
            <w:tcW w:w="399"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30</w:t>
            </w:r>
          </w:p>
        </w:tc>
        <w:tc>
          <w:tcPr>
            <w:tcW w:w="390"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100</w:t>
            </w:r>
          </w:p>
        </w:tc>
        <w:tc>
          <w:tcPr>
            <w:tcW w:w="441" w:type="pct"/>
            <w:shd w:val="clear" w:color="000000" w:fill="auto"/>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ACLR</w:t>
            </w:r>
          </w:p>
        </w:tc>
        <w:tc>
          <w:tcPr>
            <w:tcW w:w="425" w:type="pct"/>
            <w:shd w:val="clear" w:color="000000" w:fill="auto"/>
            <w:noWrap/>
            <w:vAlign w:val="center"/>
          </w:tcPr>
          <w:p>
            <w:pPr>
              <w:jc w:val="center"/>
              <w:rPr>
                <w:rFonts w:hint="default" w:ascii="Calibri" w:hAnsi="Calibri" w:eastAsia="Times New Roman" w:cs="Times New Roman"/>
                <w:b/>
                <w:bCs/>
                <w:color w:val="auto"/>
                <w:kern w:val="2"/>
                <w:sz w:val="16"/>
                <w:szCs w:val="16"/>
                <w:lang w:val="en-US" w:eastAsia="zh-CN" w:bidi="ar-SA"/>
              </w:rPr>
            </w:pPr>
            <w:r>
              <w:rPr>
                <w:rFonts w:hint="eastAsia" w:ascii="Calibri" w:hAnsi="Calibri" w:eastAsia="Times New Roman" w:cs="Times New Roman"/>
                <w:b/>
                <w:bCs/>
                <w:color w:val="auto"/>
                <w:kern w:val="2"/>
                <w:sz w:val="16"/>
                <w:szCs w:val="16"/>
                <w:lang w:val="en-US" w:eastAsia="zh-CN" w:bidi="ar-SA"/>
              </w:rPr>
              <w:t>3.28</w:t>
            </w:r>
          </w:p>
        </w:tc>
        <w:tc>
          <w:tcPr>
            <w:tcW w:w="333" w:type="pct"/>
            <w:vMerge w:val="continue"/>
            <w:shd w:val="clear" w:color="000000" w:fill="auto"/>
            <w:noWrap/>
            <w:vAlign w:val="center"/>
          </w:tcPr>
          <w:p>
            <w:pPr>
              <w:jc w:val="center"/>
              <w:rPr>
                <w:rFonts w:hint="eastAsia" w:ascii="Calibri" w:hAnsi="Calibri" w:eastAsia="Times New Roman"/>
                <w:color w:val="auto"/>
                <w:sz w:val="16"/>
                <w:szCs w:val="16"/>
                <w:lang w:val="en-US" w:eastAsia="zh-CN"/>
              </w:rPr>
            </w:pPr>
          </w:p>
        </w:tc>
        <w:tc>
          <w:tcPr>
            <w:tcW w:w="485"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2.88</w:t>
            </w:r>
          </w:p>
        </w:tc>
        <w:tc>
          <w:tcPr>
            <w:tcW w:w="549"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53"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[0,18]</w:t>
            </w:r>
          </w:p>
        </w:tc>
        <w:tc>
          <w:tcPr>
            <w:tcW w:w="399"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60</w:t>
            </w:r>
          </w:p>
        </w:tc>
        <w:tc>
          <w:tcPr>
            <w:tcW w:w="390"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15</w:t>
            </w:r>
          </w:p>
        </w:tc>
        <w:tc>
          <w:tcPr>
            <w:tcW w:w="441" w:type="pct"/>
            <w:shd w:val="clear" w:color="000000" w:fill="auto"/>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ACLR</w:t>
            </w:r>
          </w:p>
        </w:tc>
        <w:tc>
          <w:tcPr>
            <w:tcW w:w="425" w:type="pct"/>
            <w:shd w:val="clear" w:color="000000" w:fill="auto"/>
            <w:noWrap/>
            <w:vAlign w:val="center"/>
          </w:tcPr>
          <w:p>
            <w:pPr>
              <w:jc w:val="center"/>
              <w:rPr>
                <w:rFonts w:hint="default" w:ascii="Calibri" w:hAnsi="Calibri" w:eastAsia="Times New Roman" w:cs="Times New Roman"/>
                <w:b/>
                <w:bCs/>
                <w:color w:val="auto"/>
                <w:kern w:val="2"/>
                <w:sz w:val="16"/>
                <w:szCs w:val="16"/>
                <w:lang w:val="en-US" w:eastAsia="zh-CN" w:bidi="ar-SA"/>
              </w:rPr>
            </w:pPr>
            <w:r>
              <w:rPr>
                <w:rFonts w:hint="eastAsia" w:ascii="Calibri" w:hAnsi="Calibri" w:eastAsia="Times New Roman" w:cs="Times New Roman"/>
                <w:b/>
                <w:bCs/>
                <w:color w:val="auto"/>
                <w:kern w:val="2"/>
                <w:sz w:val="16"/>
                <w:szCs w:val="16"/>
                <w:lang w:val="en-US" w:eastAsia="zh-CN" w:bidi="ar-SA"/>
              </w:rPr>
              <w:t>2.98</w:t>
            </w:r>
          </w:p>
        </w:tc>
        <w:tc>
          <w:tcPr>
            <w:tcW w:w="333" w:type="pct"/>
            <w:vMerge w:val="continue"/>
            <w:shd w:val="clear" w:color="000000" w:fill="auto"/>
            <w:noWrap/>
            <w:vAlign w:val="center"/>
          </w:tcPr>
          <w:p>
            <w:pPr>
              <w:jc w:val="center"/>
              <w:rPr>
                <w:rFonts w:hint="eastAsia" w:ascii="Calibri" w:hAnsi="Calibri" w:eastAsia="Times New Roman"/>
                <w:color w:val="auto"/>
                <w:sz w:val="16"/>
                <w:szCs w:val="16"/>
                <w:lang w:val="en-US" w:eastAsia="zh-CN"/>
              </w:rPr>
            </w:pPr>
          </w:p>
        </w:tc>
        <w:tc>
          <w:tcPr>
            <w:tcW w:w="485"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2.62</w:t>
            </w:r>
          </w:p>
        </w:tc>
        <w:tc>
          <w:tcPr>
            <w:tcW w:w="549"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53"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[0,107]</w:t>
            </w:r>
          </w:p>
        </w:tc>
        <w:tc>
          <w:tcPr>
            <w:tcW w:w="399"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60</w:t>
            </w:r>
          </w:p>
        </w:tc>
        <w:tc>
          <w:tcPr>
            <w:tcW w:w="390"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80</w:t>
            </w:r>
          </w:p>
        </w:tc>
        <w:tc>
          <w:tcPr>
            <w:tcW w:w="441" w:type="pct"/>
            <w:shd w:val="clear" w:color="000000" w:fill="auto"/>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ACLR</w:t>
            </w:r>
          </w:p>
        </w:tc>
        <w:tc>
          <w:tcPr>
            <w:tcW w:w="425" w:type="pct"/>
            <w:shd w:val="clear" w:color="000000" w:fill="auto"/>
            <w:noWrap/>
            <w:vAlign w:val="center"/>
          </w:tcPr>
          <w:p>
            <w:pPr>
              <w:jc w:val="center"/>
              <w:rPr>
                <w:rFonts w:hint="default" w:ascii="Calibri" w:hAnsi="Calibri" w:eastAsia="Times New Roman" w:cs="Times New Roman"/>
                <w:b/>
                <w:bCs/>
                <w:color w:val="auto"/>
                <w:kern w:val="2"/>
                <w:sz w:val="16"/>
                <w:szCs w:val="16"/>
                <w:lang w:val="en-US" w:eastAsia="zh-CN" w:bidi="ar-SA"/>
              </w:rPr>
            </w:pPr>
            <w:r>
              <w:rPr>
                <w:rFonts w:hint="eastAsia" w:ascii="Calibri" w:hAnsi="Calibri" w:eastAsia="Times New Roman" w:cs="Times New Roman"/>
                <w:b/>
                <w:bCs/>
                <w:color w:val="auto"/>
                <w:kern w:val="2"/>
                <w:sz w:val="16"/>
                <w:szCs w:val="16"/>
                <w:lang w:val="en-US" w:eastAsia="zh-CN" w:bidi="ar-SA"/>
              </w:rPr>
              <w:t>3.25</w:t>
            </w:r>
          </w:p>
        </w:tc>
        <w:tc>
          <w:tcPr>
            <w:tcW w:w="333" w:type="pct"/>
            <w:vMerge w:val="continue"/>
            <w:shd w:val="clear" w:color="000000" w:fill="auto"/>
            <w:noWrap/>
            <w:vAlign w:val="center"/>
          </w:tcPr>
          <w:p>
            <w:pPr>
              <w:jc w:val="center"/>
              <w:rPr>
                <w:rFonts w:hint="eastAsia" w:ascii="Calibri" w:hAnsi="Calibri" w:eastAsia="Times New Roman"/>
                <w:color w:val="auto"/>
                <w:sz w:val="16"/>
                <w:szCs w:val="16"/>
                <w:lang w:val="en-US" w:eastAsia="zh-CN"/>
              </w:rPr>
            </w:pPr>
          </w:p>
        </w:tc>
        <w:tc>
          <w:tcPr>
            <w:tcW w:w="485"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2.85</w:t>
            </w:r>
          </w:p>
        </w:tc>
        <w:tc>
          <w:tcPr>
            <w:tcW w:w="549"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53"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hint="default"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[0,50]</w:t>
            </w:r>
          </w:p>
        </w:tc>
        <w:tc>
          <w:tcPr>
            <w:tcW w:w="399" w:type="pct"/>
            <w:shd w:val="clear" w:color="000000" w:fill="auto"/>
            <w:noWrap/>
            <w:vAlign w:val="center"/>
          </w:tcPr>
          <w:p>
            <w:pPr>
              <w:jc w:val="center"/>
              <w:rPr>
                <w:rFonts w:hint="default"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15</w:t>
            </w:r>
          </w:p>
        </w:tc>
        <w:tc>
          <w:tcPr>
            <w:tcW w:w="390" w:type="pct"/>
            <w:shd w:val="clear" w:color="000000" w:fill="auto"/>
            <w:noWrap/>
            <w:vAlign w:val="center"/>
          </w:tcPr>
          <w:p>
            <w:pPr>
              <w:jc w:val="center"/>
              <w:rPr>
                <w:rFonts w:hint="default"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20</w:t>
            </w:r>
          </w:p>
        </w:tc>
        <w:tc>
          <w:tcPr>
            <w:tcW w:w="441" w:type="pct"/>
            <w:shd w:val="clear" w:color="000000" w:fill="auto"/>
            <w:noWrap/>
            <w:vAlign w:val="center"/>
          </w:tcPr>
          <w:p>
            <w:pPr>
              <w:jc w:val="center"/>
              <w:rPr>
                <w:rFonts w:hint="default"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ACLR</w:t>
            </w:r>
          </w:p>
        </w:tc>
        <w:tc>
          <w:tcPr>
            <w:tcW w:w="425"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3.07</w:t>
            </w:r>
          </w:p>
        </w:tc>
        <w:tc>
          <w:tcPr>
            <w:tcW w:w="333" w:type="pct"/>
            <w:vMerge w:val="continue"/>
            <w:shd w:val="clear" w:color="000000" w:fill="auto"/>
            <w:noWrap/>
            <w:vAlign w:val="center"/>
          </w:tcPr>
          <w:p>
            <w:pPr>
              <w:jc w:val="center"/>
              <w:rPr>
                <w:rFonts w:hint="default" w:ascii="Calibri" w:hAnsi="Calibri" w:eastAsia="Times New Roman"/>
                <w:color w:val="auto"/>
                <w:sz w:val="16"/>
                <w:szCs w:val="16"/>
                <w:lang w:val="en-US" w:eastAsia="zh-CN"/>
              </w:rPr>
            </w:pPr>
          </w:p>
        </w:tc>
        <w:tc>
          <w:tcPr>
            <w:tcW w:w="485"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2.71</w:t>
            </w:r>
          </w:p>
        </w:tc>
        <w:tc>
          <w:tcPr>
            <w:tcW w:w="549"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53"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[0,20]</w:t>
            </w:r>
          </w:p>
        </w:tc>
        <w:tc>
          <w:tcPr>
            <w:tcW w:w="399" w:type="pct"/>
            <w:shd w:val="clear" w:color="000000" w:fill="auto"/>
            <w:noWrap/>
            <w:vAlign w:val="center"/>
          </w:tcPr>
          <w:p>
            <w:pPr>
              <w:jc w:val="center"/>
              <w:rPr>
                <w:rFonts w:hint="default"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15</w:t>
            </w:r>
          </w:p>
        </w:tc>
        <w:tc>
          <w:tcPr>
            <w:tcW w:w="390" w:type="pct"/>
            <w:shd w:val="clear" w:color="000000" w:fill="auto"/>
            <w:noWrap/>
            <w:vAlign w:val="center"/>
          </w:tcPr>
          <w:p>
            <w:pPr>
              <w:jc w:val="center"/>
              <w:rPr>
                <w:rFonts w:hint="default"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20</w:t>
            </w:r>
          </w:p>
        </w:tc>
        <w:tc>
          <w:tcPr>
            <w:tcW w:w="441" w:type="pct"/>
            <w:shd w:val="clear" w:color="000000" w:fill="auto"/>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ACLR</w:t>
            </w:r>
          </w:p>
        </w:tc>
        <w:tc>
          <w:tcPr>
            <w:tcW w:w="425"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2.62</w:t>
            </w:r>
          </w:p>
        </w:tc>
        <w:tc>
          <w:tcPr>
            <w:tcW w:w="333" w:type="pct"/>
            <w:vMerge w:val="continue"/>
            <w:shd w:val="clear" w:color="000000" w:fill="auto"/>
            <w:noWrap/>
            <w:vAlign w:val="center"/>
          </w:tcPr>
          <w:p>
            <w:pPr>
              <w:jc w:val="center"/>
              <w:rPr>
                <w:rFonts w:hint="default" w:ascii="Calibri" w:hAnsi="Calibri" w:eastAsia="Times New Roman"/>
                <w:color w:val="auto"/>
                <w:sz w:val="16"/>
                <w:szCs w:val="16"/>
                <w:lang w:val="en-US" w:eastAsia="zh-CN"/>
              </w:rPr>
            </w:pPr>
          </w:p>
        </w:tc>
        <w:tc>
          <w:tcPr>
            <w:tcW w:w="485"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2.21</w:t>
            </w:r>
          </w:p>
        </w:tc>
        <w:tc>
          <w:tcPr>
            <w:tcW w:w="549"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ACLR/SEM</w:t>
            </w:r>
          </w:p>
        </w:tc>
        <w:tc>
          <w:tcPr>
            <w:tcW w:w="353"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[0,50]</w:t>
            </w:r>
          </w:p>
        </w:tc>
        <w:tc>
          <w:tcPr>
            <w:tcW w:w="399" w:type="pct"/>
            <w:shd w:val="clear" w:color="000000" w:fill="auto"/>
            <w:noWrap/>
            <w:vAlign w:val="center"/>
          </w:tcPr>
          <w:p>
            <w:pPr>
              <w:jc w:val="center"/>
              <w:rPr>
                <w:rFonts w:hint="default"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30</w:t>
            </w:r>
          </w:p>
        </w:tc>
        <w:tc>
          <w:tcPr>
            <w:tcW w:w="390" w:type="pct"/>
            <w:shd w:val="clear" w:color="000000" w:fill="auto"/>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50</w:t>
            </w:r>
          </w:p>
        </w:tc>
        <w:tc>
          <w:tcPr>
            <w:tcW w:w="441" w:type="pct"/>
            <w:shd w:val="clear" w:color="000000" w:fill="auto"/>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ACLR</w:t>
            </w:r>
          </w:p>
        </w:tc>
        <w:tc>
          <w:tcPr>
            <w:tcW w:w="425"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3.15</w:t>
            </w:r>
          </w:p>
        </w:tc>
        <w:tc>
          <w:tcPr>
            <w:tcW w:w="333" w:type="pct"/>
            <w:vMerge w:val="continue"/>
            <w:shd w:val="clear" w:color="000000" w:fill="auto"/>
            <w:noWrap/>
            <w:vAlign w:val="center"/>
          </w:tcPr>
          <w:p>
            <w:pPr>
              <w:jc w:val="center"/>
              <w:rPr>
                <w:rFonts w:hint="default" w:ascii="Calibri" w:hAnsi="Calibri" w:eastAsia="Times New Roman"/>
                <w:color w:val="auto"/>
                <w:sz w:val="16"/>
                <w:szCs w:val="16"/>
                <w:lang w:val="en-US" w:eastAsia="zh-CN"/>
              </w:rPr>
            </w:pPr>
          </w:p>
        </w:tc>
        <w:tc>
          <w:tcPr>
            <w:tcW w:w="485"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2.75</w:t>
            </w:r>
          </w:p>
        </w:tc>
        <w:tc>
          <w:tcPr>
            <w:tcW w:w="549"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53"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hint="eastAsia"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[0,20]</w:t>
            </w:r>
          </w:p>
        </w:tc>
        <w:tc>
          <w:tcPr>
            <w:tcW w:w="399" w:type="pct"/>
            <w:shd w:val="clear" w:color="000000" w:fill="auto"/>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30</w:t>
            </w:r>
          </w:p>
        </w:tc>
        <w:tc>
          <w:tcPr>
            <w:tcW w:w="390" w:type="pct"/>
            <w:shd w:val="clear" w:color="000000" w:fill="auto"/>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50</w:t>
            </w:r>
          </w:p>
        </w:tc>
        <w:tc>
          <w:tcPr>
            <w:tcW w:w="441" w:type="pct"/>
            <w:shd w:val="clear" w:color="000000" w:fill="auto"/>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ACLR</w:t>
            </w:r>
          </w:p>
        </w:tc>
        <w:tc>
          <w:tcPr>
            <w:tcW w:w="425"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2.75</w:t>
            </w:r>
          </w:p>
        </w:tc>
        <w:tc>
          <w:tcPr>
            <w:tcW w:w="333" w:type="pct"/>
            <w:vMerge w:val="continue"/>
            <w:shd w:val="clear" w:color="000000" w:fill="auto"/>
            <w:noWrap/>
            <w:vAlign w:val="center"/>
          </w:tcPr>
          <w:p>
            <w:pPr>
              <w:jc w:val="center"/>
              <w:rPr>
                <w:rFonts w:hint="default" w:ascii="Calibri" w:hAnsi="Calibri" w:eastAsia="Times New Roman"/>
                <w:color w:val="auto"/>
                <w:sz w:val="16"/>
                <w:szCs w:val="16"/>
                <w:lang w:val="en-US" w:eastAsia="zh-CN"/>
              </w:rPr>
            </w:pPr>
          </w:p>
        </w:tc>
        <w:tc>
          <w:tcPr>
            <w:tcW w:w="485"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2.3</w:t>
            </w:r>
          </w:p>
        </w:tc>
        <w:tc>
          <w:tcPr>
            <w:tcW w:w="549"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53"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hint="eastAsia"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[0,50]</w:t>
            </w:r>
          </w:p>
        </w:tc>
        <w:tc>
          <w:tcPr>
            <w:tcW w:w="399" w:type="pct"/>
            <w:shd w:val="clear" w:color="000000" w:fill="auto"/>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60</w:t>
            </w:r>
          </w:p>
        </w:tc>
        <w:tc>
          <w:tcPr>
            <w:tcW w:w="390" w:type="pct"/>
            <w:shd w:val="clear" w:color="000000" w:fill="auto"/>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80</w:t>
            </w:r>
          </w:p>
        </w:tc>
        <w:tc>
          <w:tcPr>
            <w:tcW w:w="441" w:type="pct"/>
            <w:shd w:val="clear" w:color="000000" w:fill="auto"/>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ACLR</w:t>
            </w:r>
          </w:p>
        </w:tc>
        <w:tc>
          <w:tcPr>
            <w:tcW w:w="425"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3.29</w:t>
            </w:r>
          </w:p>
        </w:tc>
        <w:tc>
          <w:tcPr>
            <w:tcW w:w="333" w:type="pct"/>
            <w:vMerge w:val="continue"/>
            <w:shd w:val="clear" w:color="000000" w:fill="auto"/>
            <w:noWrap/>
            <w:vAlign w:val="center"/>
          </w:tcPr>
          <w:p>
            <w:pPr>
              <w:jc w:val="center"/>
              <w:rPr>
                <w:rFonts w:hint="default" w:ascii="Calibri" w:hAnsi="Calibri" w:eastAsia="Times New Roman"/>
                <w:color w:val="auto"/>
                <w:sz w:val="16"/>
                <w:szCs w:val="16"/>
                <w:lang w:val="en-US" w:eastAsia="zh-CN"/>
              </w:rPr>
            </w:pPr>
          </w:p>
        </w:tc>
        <w:tc>
          <w:tcPr>
            <w:tcW w:w="485"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2.85</w:t>
            </w:r>
          </w:p>
        </w:tc>
        <w:tc>
          <w:tcPr>
            <w:tcW w:w="549"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53"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hint="eastAsia"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[0,20]</w:t>
            </w:r>
          </w:p>
        </w:tc>
        <w:tc>
          <w:tcPr>
            <w:tcW w:w="399" w:type="pct"/>
            <w:shd w:val="clear" w:color="000000" w:fill="auto"/>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60</w:t>
            </w:r>
          </w:p>
        </w:tc>
        <w:tc>
          <w:tcPr>
            <w:tcW w:w="390" w:type="pct"/>
            <w:shd w:val="clear" w:color="000000" w:fill="auto"/>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80</w:t>
            </w:r>
          </w:p>
        </w:tc>
        <w:tc>
          <w:tcPr>
            <w:tcW w:w="441" w:type="pct"/>
            <w:shd w:val="clear" w:color="000000" w:fill="auto"/>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ACLR</w:t>
            </w:r>
          </w:p>
        </w:tc>
        <w:tc>
          <w:tcPr>
            <w:tcW w:w="425"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3.1</w:t>
            </w:r>
          </w:p>
        </w:tc>
        <w:tc>
          <w:tcPr>
            <w:tcW w:w="333" w:type="pct"/>
            <w:vMerge w:val="continue"/>
            <w:shd w:val="clear" w:color="000000" w:fill="auto"/>
            <w:noWrap/>
            <w:vAlign w:val="center"/>
          </w:tcPr>
          <w:p>
            <w:pPr>
              <w:jc w:val="center"/>
              <w:rPr>
                <w:rFonts w:hint="default" w:ascii="Calibri" w:hAnsi="Calibri" w:eastAsia="Times New Roman"/>
                <w:color w:val="auto"/>
                <w:sz w:val="16"/>
                <w:szCs w:val="16"/>
                <w:lang w:val="en-US" w:eastAsia="zh-CN"/>
              </w:rPr>
            </w:pPr>
          </w:p>
        </w:tc>
        <w:tc>
          <w:tcPr>
            <w:tcW w:w="485"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2.67</w:t>
            </w:r>
          </w:p>
        </w:tc>
        <w:tc>
          <w:tcPr>
            <w:tcW w:w="549"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53"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2.25</w:t>
            </w:r>
          </w:p>
        </w:tc>
      </w:tr>
    </w:tbl>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v5.0.0">
    <w:altName w:val="Times New Roman"/>
    <w:panose1 w:val="00000000000000000000"/>
    <w:charset w:val="00"/>
    <w:family w:val="roma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6">
    <w:nsid w:val="5B6568FB"/>
    <w:multiLevelType w:val="multilevel"/>
    <w:tmpl w:val="5B6568FB"/>
    <w:lvl w:ilvl="0" w:tentative="0">
      <w:start w:val="2"/>
      <w:numFmt w:val="bullet"/>
      <w:lvlText w:val="-"/>
      <w:lvlJc w:val="left"/>
      <w:pPr>
        <w:ind w:left="560" w:hanging="360"/>
      </w:pPr>
      <w:rPr>
        <w:rFonts w:hint="default" w:ascii="Times New Roman" w:hAnsi="Times New Roman" w:eastAsia="宋体" w:cs="Times New Roman"/>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7">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5F723A5E"/>
    <w:multiLevelType w:val="singleLevel"/>
    <w:tmpl w:val="5F723A5E"/>
    <w:lvl w:ilvl="0" w:tentative="0">
      <w:start w:val="1"/>
      <w:numFmt w:val="decimal"/>
      <w:suff w:val="space"/>
      <w:lvlText w:val="[%1]"/>
      <w:lvlJc w:val="left"/>
    </w:lvl>
  </w:abstractNum>
  <w:abstractNum w:abstractNumId="9">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3"/>
  </w:num>
  <w:num w:numId="2">
    <w:abstractNumId w:val="9"/>
  </w:num>
  <w:num w:numId="3">
    <w:abstractNumId w:val="7"/>
  </w:num>
  <w:num w:numId="4">
    <w:abstractNumId w:val="4"/>
  </w:num>
  <w:num w:numId="5">
    <w:abstractNumId w:val="5"/>
  </w:num>
  <w:num w:numId="6">
    <w:abstractNumId w:val="1"/>
  </w:num>
  <w:num w:numId="7">
    <w:abstractNumId w:val="0"/>
  </w:num>
  <w:num w:numId="8">
    <w:abstractNumId w:val="2"/>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3705"/>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96C"/>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430A84"/>
    <w:rsid w:val="014A0623"/>
    <w:rsid w:val="01536583"/>
    <w:rsid w:val="0156475D"/>
    <w:rsid w:val="015D3EF3"/>
    <w:rsid w:val="016112D3"/>
    <w:rsid w:val="0165788D"/>
    <w:rsid w:val="01764F01"/>
    <w:rsid w:val="018107C9"/>
    <w:rsid w:val="01854FE9"/>
    <w:rsid w:val="018E207B"/>
    <w:rsid w:val="0190283E"/>
    <w:rsid w:val="019C544F"/>
    <w:rsid w:val="019D155B"/>
    <w:rsid w:val="01A428BB"/>
    <w:rsid w:val="01AE307F"/>
    <w:rsid w:val="01B35169"/>
    <w:rsid w:val="01C00B7B"/>
    <w:rsid w:val="01CA1BB3"/>
    <w:rsid w:val="01D00B7E"/>
    <w:rsid w:val="01D46B8D"/>
    <w:rsid w:val="01D67ABF"/>
    <w:rsid w:val="01D866D8"/>
    <w:rsid w:val="01E54210"/>
    <w:rsid w:val="01EE2663"/>
    <w:rsid w:val="01F90434"/>
    <w:rsid w:val="01FB366B"/>
    <w:rsid w:val="01FB4D4C"/>
    <w:rsid w:val="01FD3930"/>
    <w:rsid w:val="02024A92"/>
    <w:rsid w:val="02042B52"/>
    <w:rsid w:val="02072552"/>
    <w:rsid w:val="021B7C87"/>
    <w:rsid w:val="022D4A6E"/>
    <w:rsid w:val="023512AC"/>
    <w:rsid w:val="023B0A39"/>
    <w:rsid w:val="023C78A7"/>
    <w:rsid w:val="023F3FD3"/>
    <w:rsid w:val="02444B7E"/>
    <w:rsid w:val="024A5964"/>
    <w:rsid w:val="024B023C"/>
    <w:rsid w:val="024D6B6A"/>
    <w:rsid w:val="024E43D4"/>
    <w:rsid w:val="02510B5E"/>
    <w:rsid w:val="02566C17"/>
    <w:rsid w:val="025C4BEF"/>
    <w:rsid w:val="026246A1"/>
    <w:rsid w:val="0262759F"/>
    <w:rsid w:val="02655431"/>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B0FBC"/>
    <w:rsid w:val="02AE6812"/>
    <w:rsid w:val="02D16C80"/>
    <w:rsid w:val="02DC3F9C"/>
    <w:rsid w:val="03036B01"/>
    <w:rsid w:val="03052298"/>
    <w:rsid w:val="03073BDC"/>
    <w:rsid w:val="030A6B04"/>
    <w:rsid w:val="030B0647"/>
    <w:rsid w:val="030B2860"/>
    <w:rsid w:val="030C40C1"/>
    <w:rsid w:val="030D2F0B"/>
    <w:rsid w:val="03147E4E"/>
    <w:rsid w:val="03187492"/>
    <w:rsid w:val="031E429F"/>
    <w:rsid w:val="032F336F"/>
    <w:rsid w:val="03317AD0"/>
    <w:rsid w:val="033C68CE"/>
    <w:rsid w:val="033F734A"/>
    <w:rsid w:val="034060C8"/>
    <w:rsid w:val="03445E8F"/>
    <w:rsid w:val="03496C64"/>
    <w:rsid w:val="035154D3"/>
    <w:rsid w:val="03527C38"/>
    <w:rsid w:val="0356746F"/>
    <w:rsid w:val="0360259A"/>
    <w:rsid w:val="036522E7"/>
    <w:rsid w:val="036E37C2"/>
    <w:rsid w:val="03746F87"/>
    <w:rsid w:val="037C6EF7"/>
    <w:rsid w:val="03814F5B"/>
    <w:rsid w:val="038B3141"/>
    <w:rsid w:val="03A77DFA"/>
    <w:rsid w:val="03B339B1"/>
    <w:rsid w:val="03C05350"/>
    <w:rsid w:val="03C1287B"/>
    <w:rsid w:val="03C36B0E"/>
    <w:rsid w:val="03C528EA"/>
    <w:rsid w:val="03CF67FA"/>
    <w:rsid w:val="03E120EA"/>
    <w:rsid w:val="03E358F3"/>
    <w:rsid w:val="03E84DE8"/>
    <w:rsid w:val="03EC63CD"/>
    <w:rsid w:val="04023A0C"/>
    <w:rsid w:val="04030035"/>
    <w:rsid w:val="04242D1B"/>
    <w:rsid w:val="04251A4C"/>
    <w:rsid w:val="042D2E97"/>
    <w:rsid w:val="04305EA0"/>
    <w:rsid w:val="04310833"/>
    <w:rsid w:val="04343921"/>
    <w:rsid w:val="04346443"/>
    <w:rsid w:val="043865BF"/>
    <w:rsid w:val="043A14AD"/>
    <w:rsid w:val="044C78D8"/>
    <w:rsid w:val="04537B11"/>
    <w:rsid w:val="04645F93"/>
    <w:rsid w:val="04684A28"/>
    <w:rsid w:val="046C0EAE"/>
    <w:rsid w:val="04782230"/>
    <w:rsid w:val="0479507E"/>
    <w:rsid w:val="04894975"/>
    <w:rsid w:val="04922411"/>
    <w:rsid w:val="04A65723"/>
    <w:rsid w:val="04B14B03"/>
    <w:rsid w:val="04CF6607"/>
    <w:rsid w:val="04D46535"/>
    <w:rsid w:val="04DA1A87"/>
    <w:rsid w:val="04DC0F32"/>
    <w:rsid w:val="04DE2DA3"/>
    <w:rsid w:val="04DF3C0B"/>
    <w:rsid w:val="04EB6DF8"/>
    <w:rsid w:val="04FF1C94"/>
    <w:rsid w:val="04FF7D5A"/>
    <w:rsid w:val="0502349F"/>
    <w:rsid w:val="050C587A"/>
    <w:rsid w:val="050E7487"/>
    <w:rsid w:val="05161D2D"/>
    <w:rsid w:val="051B5DBA"/>
    <w:rsid w:val="0522500E"/>
    <w:rsid w:val="052E568F"/>
    <w:rsid w:val="05344105"/>
    <w:rsid w:val="053973F0"/>
    <w:rsid w:val="053E65E7"/>
    <w:rsid w:val="054B2F7A"/>
    <w:rsid w:val="0555228E"/>
    <w:rsid w:val="05636085"/>
    <w:rsid w:val="05677EA6"/>
    <w:rsid w:val="057D1D66"/>
    <w:rsid w:val="059D265F"/>
    <w:rsid w:val="059E1515"/>
    <w:rsid w:val="05B92EC1"/>
    <w:rsid w:val="05DB542B"/>
    <w:rsid w:val="05E078B3"/>
    <w:rsid w:val="05E942A3"/>
    <w:rsid w:val="05EA759F"/>
    <w:rsid w:val="05EE6827"/>
    <w:rsid w:val="0601277E"/>
    <w:rsid w:val="060C5AED"/>
    <w:rsid w:val="06103146"/>
    <w:rsid w:val="06172561"/>
    <w:rsid w:val="061E54DA"/>
    <w:rsid w:val="061E5E22"/>
    <w:rsid w:val="06223FD1"/>
    <w:rsid w:val="062B2FCF"/>
    <w:rsid w:val="063F63E4"/>
    <w:rsid w:val="06460B91"/>
    <w:rsid w:val="0654187C"/>
    <w:rsid w:val="065475DE"/>
    <w:rsid w:val="06556C03"/>
    <w:rsid w:val="06782F84"/>
    <w:rsid w:val="067C28D6"/>
    <w:rsid w:val="068A55C2"/>
    <w:rsid w:val="068E06BC"/>
    <w:rsid w:val="069201CB"/>
    <w:rsid w:val="06956E2E"/>
    <w:rsid w:val="06AC7765"/>
    <w:rsid w:val="06B62C91"/>
    <w:rsid w:val="06B741D9"/>
    <w:rsid w:val="06B756E7"/>
    <w:rsid w:val="06C457B6"/>
    <w:rsid w:val="06CA5532"/>
    <w:rsid w:val="06CD4A70"/>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81725F"/>
    <w:rsid w:val="078C5933"/>
    <w:rsid w:val="078D336C"/>
    <w:rsid w:val="07971B3F"/>
    <w:rsid w:val="07983294"/>
    <w:rsid w:val="079B3BB0"/>
    <w:rsid w:val="079F1838"/>
    <w:rsid w:val="07A2030D"/>
    <w:rsid w:val="07A5677E"/>
    <w:rsid w:val="07B51934"/>
    <w:rsid w:val="07B9290D"/>
    <w:rsid w:val="07BE52B9"/>
    <w:rsid w:val="07C55A1A"/>
    <w:rsid w:val="07CB1347"/>
    <w:rsid w:val="07D57946"/>
    <w:rsid w:val="07ED524D"/>
    <w:rsid w:val="07F065BC"/>
    <w:rsid w:val="080124E3"/>
    <w:rsid w:val="08030E27"/>
    <w:rsid w:val="080C7FA0"/>
    <w:rsid w:val="080F0F47"/>
    <w:rsid w:val="08193C24"/>
    <w:rsid w:val="081E243C"/>
    <w:rsid w:val="082A7098"/>
    <w:rsid w:val="08334B3D"/>
    <w:rsid w:val="08341060"/>
    <w:rsid w:val="08732D34"/>
    <w:rsid w:val="08787FF0"/>
    <w:rsid w:val="087C4B7B"/>
    <w:rsid w:val="08824DF0"/>
    <w:rsid w:val="0889002B"/>
    <w:rsid w:val="089B79D9"/>
    <w:rsid w:val="08A44DA6"/>
    <w:rsid w:val="08AA245A"/>
    <w:rsid w:val="08AD2ACC"/>
    <w:rsid w:val="08BA6E24"/>
    <w:rsid w:val="08C024D5"/>
    <w:rsid w:val="08C562FD"/>
    <w:rsid w:val="08CA27B1"/>
    <w:rsid w:val="08E916DF"/>
    <w:rsid w:val="08F473EA"/>
    <w:rsid w:val="08FC0AA5"/>
    <w:rsid w:val="090E2F35"/>
    <w:rsid w:val="091B4FFA"/>
    <w:rsid w:val="092173F4"/>
    <w:rsid w:val="09262DE9"/>
    <w:rsid w:val="092F7300"/>
    <w:rsid w:val="09306537"/>
    <w:rsid w:val="09355076"/>
    <w:rsid w:val="09392119"/>
    <w:rsid w:val="09445E95"/>
    <w:rsid w:val="094C1D4E"/>
    <w:rsid w:val="09543B3B"/>
    <w:rsid w:val="09600FBD"/>
    <w:rsid w:val="09680E23"/>
    <w:rsid w:val="0972595C"/>
    <w:rsid w:val="098143BC"/>
    <w:rsid w:val="098271F2"/>
    <w:rsid w:val="098500F1"/>
    <w:rsid w:val="0992510E"/>
    <w:rsid w:val="09B33AE4"/>
    <w:rsid w:val="09BD407A"/>
    <w:rsid w:val="09BF125C"/>
    <w:rsid w:val="09C12CF5"/>
    <w:rsid w:val="09DA0E26"/>
    <w:rsid w:val="09DB6437"/>
    <w:rsid w:val="09E55691"/>
    <w:rsid w:val="09F67CD5"/>
    <w:rsid w:val="0A054821"/>
    <w:rsid w:val="0A077A43"/>
    <w:rsid w:val="0A0835C8"/>
    <w:rsid w:val="0A145721"/>
    <w:rsid w:val="0A355EAA"/>
    <w:rsid w:val="0A3708FF"/>
    <w:rsid w:val="0A3B01F9"/>
    <w:rsid w:val="0A3F0488"/>
    <w:rsid w:val="0A402A36"/>
    <w:rsid w:val="0A4236A3"/>
    <w:rsid w:val="0A4E7EF5"/>
    <w:rsid w:val="0A646846"/>
    <w:rsid w:val="0A7B4D83"/>
    <w:rsid w:val="0A817CBD"/>
    <w:rsid w:val="0A8251CA"/>
    <w:rsid w:val="0A8828AB"/>
    <w:rsid w:val="0A927DC1"/>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F6A66"/>
    <w:rsid w:val="0B0130D7"/>
    <w:rsid w:val="0B0250FD"/>
    <w:rsid w:val="0B0F025C"/>
    <w:rsid w:val="0B1A6333"/>
    <w:rsid w:val="0B267BFC"/>
    <w:rsid w:val="0B2713F4"/>
    <w:rsid w:val="0B3B1BC1"/>
    <w:rsid w:val="0B3B5196"/>
    <w:rsid w:val="0B3D701F"/>
    <w:rsid w:val="0B3E7DD7"/>
    <w:rsid w:val="0B491629"/>
    <w:rsid w:val="0B4B40F9"/>
    <w:rsid w:val="0B554398"/>
    <w:rsid w:val="0B561995"/>
    <w:rsid w:val="0B5C2C2A"/>
    <w:rsid w:val="0B5D32FE"/>
    <w:rsid w:val="0B6148D2"/>
    <w:rsid w:val="0B665E0A"/>
    <w:rsid w:val="0B680DC4"/>
    <w:rsid w:val="0B7C0E60"/>
    <w:rsid w:val="0B847B39"/>
    <w:rsid w:val="0B987E20"/>
    <w:rsid w:val="0B9E71DF"/>
    <w:rsid w:val="0BA65BCD"/>
    <w:rsid w:val="0BAD5CC5"/>
    <w:rsid w:val="0BAD5EDC"/>
    <w:rsid w:val="0BAF59B9"/>
    <w:rsid w:val="0BB524B8"/>
    <w:rsid w:val="0BB756DF"/>
    <w:rsid w:val="0BC63DB2"/>
    <w:rsid w:val="0BCA2BBA"/>
    <w:rsid w:val="0BCC4043"/>
    <w:rsid w:val="0BCC4B6A"/>
    <w:rsid w:val="0BE2291A"/>
    <w:rsid w:val="0C07043D"/>
    <w:rsid w:val="0C1E494F"/>
    <w:rsid w:val="0C3427D0"/>
    <w:rsid w:val="0C43327D"/>
    <w:rsid w:val="0C4426AF"/>
    <w:rsid w:val="0C453647"/>
    <w:rsid w:val="0C4577EC"/>
    <w:rsid w:val="0C4F3B0E"/>
    <w:rsid w:val="0C4F7881"/>
    <w:rsid w:val="0C5A77EA"/>
    <w:rsid w:val="0C5C6396"/>
    <w:rsid w:val="0C63431B"/>
    <w:rsid w:val="0C650A20"/>
    <w:rsid w:val="0C690EFA"/>
    <w:rsid w:val="0C6E11B8"/>
    <w:rsid w:val="0C723CD1"/>
    <w:rsid w:val="0C7C294A"/>
    <w:rsid w:val="0C825F28"/>
    <w:rsid w:val="0C89028B"/>
    <w:rsid w:val="0C8B63A3"/>
    <w:rsid w:val="0CB94808"/>
    <w:rsid w:val="0CC146A9"/>
    <w:rsid w:val="0CC37BC2"/>
    <w:rsid w:val="0CC66DE7"/>
    <w:rsid w:val="0CD87ABE"/>
    <w:rsid w:val="0CE26C42"/>
    <w:rsid w:val="0CE632FF"/>
    <w:rsid w:val="0CE76B48"/>
    <w:rsid w:val="0CEB5DBE"/>
    <w:rsid w:val="0CFB523A"/>
    <w:rsid w:val="0D074D4A"/>
    <w:rsid w:val="0D0A3371"/>
    <w:rsid w:val="0D0C5764"/>
    <w:rsid w:val="0D1B1E9C"/>
    <w:rsid w:val="0D1C2E6E"/>
    <w:rsid w:val="0D4B44A1"/>
    <w:rsid w:val="0D66311C"/>
    <w:rsid w:val="0D6811B4"/>
    <w:rsid w:val="0D6E2620"/>
    <w:rsid w:val="0D704E21"/>
    <w:rsid w:val="0D7F48FE"/>
    <w:rsid w:val="0D883C88"/>
    <w:rsid w:val="0D9074CF"/>
    <w:rsid w:val="0D936E72"/>
    <w:rsid w:val="0D966BF7"/>
    <w:rsid w:val="0DA72A5A"/>
    <w:rsid w:val="0DB54F84"/>
    <w:rsid w:val="0DB84465"/>
    <w:rsid w:val="0DCC3AE8"/>
    <w:rsid w:val="0DD87842"/>
    <w:rsid w:val="0DDE2885"/>
    <w:rsid w:val="0DEF012A"/>
    <w:rsid w:val="0DF202E1"/>
    <w:rsid w:val="0DF53CE3"/>
    <w:rsid w:val="0E0961C5"/>
    <w:rsid w:val="0E0C6AA6"/>
    <w:rsid w:val="0E147898"/>
    <w:rsid w:val="0E264DDB"/>
    <w:rsid w:val="0E2F216B"/>
    <w:rsid w:val="0E327317"/>
    <w:rsid w:val="0E3352C6"/>
    <w:rsid w:val="0E3A5EE2"/>
    <w:rsid w:val="0E542F3B"/>
    <w:rsid w:val="0E5757F7"/>
    <w:rsid w:val="0E591BF0"/>
    <w:rsid w:val="0E6271DF"/>
    <w:rsid w:val="0E6438B9"/>
    <w:rsid w:val="0E78367D"/>
    <w:rsid w:val="0E81568A"/>
    <w:rsid w:val="0E903E3B"/>
    <w:rsid w:val="0E942250"/>
    <w:rsid w:val="0E963344"/>
    <w:rsid w:val="0E9E6E00"/>
    <w:rsid w:val="0EA40C1C"/>
    <w:rsid w:val="0EAA759E"/>
    <w:rsid w:val="0EAF381F"/>
    <w:rsid w:val="0EB72E4B"/>
    <w:rsid w:val="0EC61717"/>
    <w:rsid w:val="0EEC6F1D"/>
    <w:rsid w:val="0F0621F6"/>
    <w:rsid w:val="0F103291"/>
    <w:rsid w:val="0F15660A"/>
    <w:rsid w:val="0F1D0EA6"/>
    <w:rsid w:val="0F1D498B"/>
    <w:rsid w:val="0F22242C"/>
    <w:rsid w:val="0F337178"/>
    <w:rsid w:val="0F3B15FC"/>
    <w:rsid w:val="0F41022A"/>
    <w:rsid w:val="0F56743B"/>
    <w:rsid w:val="0F60682C"/>
    <w:rsid w:val="0F6763D9"/>
    <w:rsid w:val="0F715B2B"/>
    <w:rsid w:val="0F744211"/>
    <w:rsid w:val="0F764270"/>
    <w:rsid w:val="0F7F273F"/>
    <w:rsid w:val="0F7F7919"/>
    <w:rsid w:val="0F8418ED"/>
    <w:rsid w:val="0F8B3A90"/>
    <w:rsid w:val="0F957B47"/>
    <w:rsid w:val="0F98796C"/>
    <w:rsid w:val="0F9F6FA4"/>
    <w:rsid w:val="0FA20284"/>
    <w:rsid w:val="0FA65D5C"/>
    <w:rsid w:val="0FAA75F1"/>
    <w:rsid w:val="0FAD33DA"/>
    <w:rsid w:val="0FAD71D4"/>
    <w:rsid w:val="0FBE2A42"/>
    <w:rsid w:val="0FC17CCE"/>
    <w:rsid w:val="0FC424B9"/>
    <w:rsid w:val="0FCB3854"/>
    <w:rsid w:val="0FCC3C6A"/>
    <w:rsid w:val="0FD576BA"/>
    <w:rsid w:val="0FD70565"/>
    <w:rsid w:val="0FE928D1"/>
    <w:rsid w:val="0FEC680C"/>
    <w:rsid w:val="0FFD688F"/>
    <w:rsid w:val="0FFF0BF3"/>
    <w:rsid w:val="10007AD6"/>
    <w:rsid w:val="101B1E8A"/>
    <w:rsid w:val="101C4A03"/>
    <w:rsid w:val="101D0C86"/>
    <w:rsid w:val="10320BC0"/>
    <w:rsid w:val="104A023B"/>
    <w:rsid w:val="104B6A1B"/>
    <w:rsid w:val="10501493"/>
    <w:rsid w:val="10505F3B"/>
    <w:rsid w:val="10573037"/>
    <w:rsid w:val="10677613"/>
    <w:rsid w:val="106D2686"/>
    <w:rsid w:val="107407B6"/>
    <w:rsid w:val="107C3E2C"/>
    <w:rsid w:val="107D41AE"/>
    <w:rsid w:val="108C2479"/>
    <w:rsid w:val="10B3132B"/>
    <w:rsid w:val="10C715C5"/>
    <w:rsid w:val="10D335EF"/>
    <w:rsid w:val="10E255A6"/>
    <w:rsid w:val="10E746EA"/>
    <w:rsid w:val="10E83FE0"/>
    <w:rsid w:val="10EC3168"/>
    <w:rsid w:val="10F52718"/>
    <w:rsid w:val="10F75B08"/>
    <w:rsid w:val="11123EF8"/>
    <w:rsid w:val="11124F2E"/>
    <w:rsid w:val="11125358"/>
    <w:rsid w:val="111F38A5"/>
    <w:rsid w:val="111F6CBE"/>
    <w:rsid w:val="112D2A42"/>
    <w:rsid w:val="113A22DB"/>
    <w:rsid w:val="114028DC"/>
    <w:rsid w:val="11441C15"/>
    <w:rsid w:val="114F613F"/>
    <w:rsid w:val="11583891"/>
    <w:rsid w:val="1159252B"/>
    <w:rsid w:val="1160765D"/>
    <w:rsid w:val="116F1EB0"/>
    <w:rsid w:val="11727495"/>
    <w:rsid w:val="117A242E"/>
    <w:rsid w:val="117B1D6A"/>
    <w:rsid w:val="117C2D9D"/>
    <w:rsid w:val="117F159E"/>
    <w:rsid w:val="11821DC9"/>
    <w:rsid w:val="11897A08"/>
    <w:rsid w:val="11921373"/>
    <w:rsid w:val="119D7849"/>
    <w:rsid w:val="11A615EE"/>
    <w:rsid w:val="11A658F4"/>
    <w:rsid w:val="11B16FA5"/>
    <w:rsid w:val="11B91A57"/>
    <w:rsid w:val="11BA3FAE"/>
    <w:rsid w:val="11C67B8F"/>
    <w:rsid w:val="11CE730E"/>
    <w:rsid w:val="11D815C4"/>
    <w:rsid w:val="11D85BD5"/>
    <w:rsid w:val="11E57D4F"/>
    <w:rsid w:val="11F40833"/>
    <w:rsid w:val="11F92DAB"/>
    <w:rsid w:val="11FB6DE4"/>
    <w:rsid w:val="11FC38D5"/>
    <w:rsid w:val="11FD37F5"/>
    <w:rsid w:val="120F1E38"/>
    <w:rsid w:val="1210682D"/>
    <w:rsid w:val="122215D3"/>
    <w:rsid w:val="122510AD"/>
    <w:rsid w:val="122F0F93"/>
    <w:rsid w:val="12325FDF"/>
    <w:rsid w:val="123A05DB"/>
    <w:rsid w:val="124240B9"/>
    <w:rsid w:val="12491684"/>
    <w:rsid w:val="124D0988"/>
    <w:rsid w:val="124E44B4"/>
    <w:rsid w:val="126532DD"/>
    <w:rsid w:val="12680E73"/>
    <w:rsid w:val="12763466"/>
    <w:rsid w:val="127E5AA6"/>
    <w:rsid w:val="128B2749"/>
    <w:rsid w:val="128E1E81"/>
    <w:rsid w:val="129019B5"/>
    <w:rsid w:val="129403DF"/>
    <w:rsid w:val="129811DB"/>
    <w:rsid w:val="129937EE"/>
    <w:rsid w:val="129E6282"/>
    <w:rsid w:val="129F3A3A"/>
    <w:rsid w:val="12AA7237"/>
    <w:rsid w:val="12AB7A32"/>
    <w:rsid w:val="12BB6535"/>
    <w:rsid w:val="12C7312B"/>
    <w:rsid w:val="12CA63F6"/>
    <w:rsid w:val="12D22971"/>
    <w:rsid w:val="12D85654"/>
    <w:rsid w:val="12DF4A87"/>
    <w:rsid w:val="12E265EC"/>
    <w:rsid w:val="12E706B5"/>
    <w:rsid w:val="12EE5106"/>
    <w:rsid w:val="12F777F2"/>
    <w:rsid w:val="1307341C"/>
    <w:rsid w:val="130C40FE"/>
    <w:rsid w:val="130E3629"/>
    <w:rsid w:val="131B39DD"/>
    <w:rsid w:val="13283BA4"/>
    <w:rsid w:val="13332F77"/>
    <w:rsid w:val="13334E1C"/>
    <w:rsid w:val="13346EE4"/>
    <w:rsid w:val="13384952"/>
    <w:rsid w:val="1355107F"/>
    <w:rsid w:val="135875D7"/>
    <w:rsid w:val="135D4D2E"/>
    <w:rsid w:val="1366638D"/>
    <w:rsid w:val="1369011A"/>
    <w:rsid w:val="136D76E8"/>
    <w:rsid w:val="137266E0"/>
    <w:rsid w:val="13811975"/>
    <w:rsid w:val="138559AC"/>
    <w:rsid w:val="138758DC"/>
    <w:rsid w:val="138F3C22"/>
    <w:rsid w:val="139D3156"/>
    <w:rsid w:val="13A50F41"/>
    <w:rsid w:val="13A825CD"/>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0D3F82"/>
    <w:rsid w:val="141C71BE"/>
    <w:rsid w:val="141E583B"/>
    <w:rsid w:val="1424615D"/>
    <w:rsid w:val="142C143A"/>
    <w:rsid w:val="142E1345"/>
    <w:rsid w:val="14355342"/>
    <w:rsid w:val="144C1C02"/>
    <w:rsid w:val="145103FA"/>
    <w:rsid w:val="145F07C7"/>
    <w:rsid w:val="14601908"/>
    <w:rsid w:val="14632D00"/>
    <w:rsid w:val="146B69A8"/>
    <w:rsid w:val="146C5189"/>
    <w:rsid w:val="146F1089"/>
    <w:rsid w:val="14816B50"/>
    <w:rsid w:val="148313F4"/>
    <w:rsid w:val="1485665F"/>
    <w:rsid w:val="14934F1A"/>
    <w:rsid w:val="149559C4"/>
    <w:rsid w:val="149D71D6"/>
    <w:rsid w:val="149E3770"/>
    <w:rsid w:val="14A13FBC"/>
    <w:rsid w:val="14A67171"/>
    <w:rsid w:val="14AA71CB"/>
    <w:rsid w:val="14AC0C32"/>
    <w:rsid w:val="14B2463E"/>
    <w:rsid w:val="14B57287"/>
    <w:rsid w:val="14B602D5"/>
    <w:rsid w:val="14C45576"/>
    <w:rsid w:val="14C76D6C"/>
    <w:rsid w:val="14CE33C4"/>
    <w:rsid w:val="14D60E60"/>
    <w:rsid w:val="14DA3DA1"/>
    <w:rsid w:val="14E60B42"/>
    <w:rsid w:val="14E75E9B"/>
    <w:rsid w:val="14EA1C4D"/>
    <w:rsid w:val="14EF0267"/>
    <w:rsid w:val="14FB736A"/>
    <w:rsid w:val="150222BF"/>
    <w:rsid w:val="150F7C33"/>
    <w:rsid w:val="151178FC"/>
    <w:rsid w:val="1515004B"/>
    <w:rsid w:val="151B7C99"/>
    <w:rsid w:val="15207BBA"/>
    <w:rsid w:val="15222DA1"/>
    <w:rsid w:val="15256B65"/>
    <w:rsid w:val="152F4E1B"/>
    <w:rsid w:val="154806E1"/>
    <w:rsid w:val="154D342A"/>
    <w:rsid w:val="1559587F"/>
    <w:rsid w:val="155E7DEC"/>
    <w:rsid w:val="15740334"/>
    <w:rsid w:val="1574662E"/>
    <w:rsid w:val="15751882"/>
    <w:rsid w:val="1575191B"/>
    <w:rsid w:val="157818C6"/>
    <w:rsid w:val="159F73BB"/>
    <w:rsid w:val="15B03F28"/>
    <w:rsid w:val="15C15E25"/>
    <w:rsid w:val="15C42571"/>
    <w:rsid w:val="15E30A80"/>
    <w:rsid w:val="15FD2FA2"/>
    <w:rsid w:val="16021A7C"/>
    <w:rsid w:val="1608480E"/>
    <w:rsid w:val="161C1C58"/>
    <w:rsid w:val="162B27CD"/>
    <w:rsid w:val="162D7415"/>
    <w:rsid w:val="162F7556"/>
    <w:rsid w:val="163814FD"/>
    <w:rsid w:val="163A6AD4"/>
    <w:rsid w:val="16413A3A"/>
    <w:rsid w:val="1644500C"/>
    <w:rsid w:val="16461A95"/>
    <w:rsid w:val="16594F06"/>
    <w:rsid w:val="165A38E6"/>
    <w:rsid w:val="166C5DB6"/>
    <w:rsid w:val="166F5E80"/>
    <w:rsid w:val="16766A92"/>
    <w:rsid w:val="167A52A9"/>
    <w:rsid w:val="167B20D8"/>
    <w:rsid w:val="167B7B40"/>
    <w:rsid w:val="167C6594"/>
    <w:rsid w:val="16833ACA"/>
    <w:rsid w:val="16866882"/>
    <w:rsid w:val="16872167"/>
    <w:rsid w:val="16895E32"/>
    <w:rsid w:val="168F69F2"/>
    <w:rsid w:val="169865AE"/>
    <w:rsid w:val="169C7FDE"/>
    <w:rsid w:val="16A4319F"/>
    <w:rsid w:val="16AC4DDB"/>
    <w:rsid w:val="16AE2FE3"/>
    <w:rsid w:val="16B23908"/>
    <w:rsid w:val="16B4400E"/>
    <w:rsid w:val="16C16240"/>
    <w:rsid w:val="16C71372"/>
    <w:rsid w:val="16C739DF"/>
    <w:rsid w:val="16C86CDB"/>
    <w:rsid w:val="16DD3B26"/>
    <w:rsid w:val="16E73506"/>
    <w:rsid w:val="16EB6E00"/>
    <w:rsid w:val="16EE7649"/>
    <w:rsid w:val="16F04615"/>
    <w:rsid w:val="16FD2447"/>
    <w:rsid w:val="1712339A"/>
    <w:rsid w:val="171E63FC"/>
    <w:rsid w:val="1722504D"/>
    <w:rsid w:val="17306175"/>
    <w:rsid w:val="1738730F"/>
    <w:rsid w:val="17416499"/>
    <w:rsid w:val="17481B81"/>
    <w:rsid w:val="17481E8B"/>
    <w:rsid w:val="174A69B0"/>
    <w:rsid w:val="175007ED"/>
    <w:rsid w:val="175D7538"/>
    <w:rsid w:val="17605E9B"/>
    <w:rsid w:val="17611CB8"/>
    <w:rsid w:val="176B45C6"/>
    <w:rsid w:val="176C447F"/>
    <w:rsid w:val="17850F99"/>
    <w:rsid w:val="17875303"/>
    <w:rsid w:val="178815C4"/>
    <w:rsid w:val="17891C0B"/>
    <w:rsid w:val="178F2F4E"/>
    <w:rsid w:val="1793626E"/>
    <w:rsid w:val="17991452"/>
    <w:rsid w:val="17A875F5"/>
    <w:rsid w:val="17B5256D"/>
    <w:rsid w:val="17B92501"/>
    <w:rsid w:val="17D826EB"/>
    <w:rsid w:val="17DE2FB7"/>
    <w:rsid w:val="17E47B20"/>
    <w:rsid w:val="17E65848"/>
    <w:rsid w:val="17E66DD8"/>
    <w:rsid w:val="17E84839"/>
    <w:rsid w:val="17EE1403"/>
    <w:rsid w:val="17F25234"/>
    <w:rsid w:val="17F33DC6"/>
    <w:rsid w:val="17F45149"/>
    <w:rsid w:val="17FD061B"/>
    <w:rsid w:val="17FD20FD"/>
    <w:rsid w:val="17FF6314"/>
    <w:rsid w:val="18005F41"/>
    <w:rsid w:val="18025414"/>
    <w:rsid w:val="18171305"/>
    <w:rsid w:val="18201A8F"/>
    <w:rsid w:val="1820454C"/>
    <w:rsid w:val="1829280B"/>
    <w:rsid w:val="18334194"/>
    <w:rsid w:val="183E1D37"/>
    <w:rsid w:val="1840126B"/>
    <w:rsid w:val="1846724A"/>
    <w:rsid w:val="184A22E6"/>
    <w:rsid w:val="184D0787"/>
    <w:rsid w:val="185D1883"/>
    <w:rsid w:val="185E3AA1"/>
    <w:rsid w:val="185F15CF"/>
    <w:rsid w:val="18717152"/>
    <w:rsid w:val="18812331"/>
    <w:rsid w:val="18816F1C"/>
    <w:rsid w:val="18847050"/>
    <w:rsid w:val="18853F3E"/>
    <w:rsid w:val="188F3639"/>
    <w:rsid w:val="18956393"/>
    <w:rsid w:val="18A8582C"/>
    <w:rsid w:val="18AC1B3E"/>
    <w:rsid w:val="18B50543"/>
    <w:rsid w:val="18CA40C3"/>
    <w:rsid w:val="18CD7A02"/>
    <w:rsid w:val="18D904AC"/>
    <w:rsid w:val="19001FFC"/>
    <w:rsid w:val="19083894"/>
    <w:rsid w:val="19093D9F"/>
    <w:rsid w:val="190E2B4A"/>
    <w:rsid w:val="19256D7A"/>
    <w:rsid w:val="193275C2"/>
    <w:rsid w:val="19342CF4"/>
    <w:rsid w:val="193A500F"/>
    <w:rsid w:val="193B3E86"/>
    <w:rsid w:val="19463A75"/>
    <w:rsid w:val="194D2005"/>
    <w:rsid w:val="19655A52"/>
    <w:rsid w:val="19663168"/>
    <w:rsid w:val="197724BD"/>
    <w:rsid w:val="19786B0A"/>
    <w:rsid w:val="198A41A1"/>
    <w:rsid w:val="1998370E"/>
    <w:rsid w:val="199A2059"/>
    <w:rsid w:val="19AE76C7"/>
    <w:rsid w:val="19B30646"/>
    <w:rsid w:val="19B46E10"/>
    <w:rsid w:val="19C456C1"/>
    <w:rsid w:val="19E24986"/>
    <w:rsid w:val="19E256B5"/>
    <w:rsid w:val="19E54655"/>
    <w:rsid w:val="19F061A1"/>
    <w:rsid w:val="19F81E45"/>
    <w:rsid w:val="1A054259"/>
    <w:rsid w:val="1A081816"/>
    <w:rsid w:val="1A0C5680"/>
    <w:rsid w:val="1A165171"/>
    <w:rsid w:val="1A3068A4"/>
    <w:rsid w:val="1A4858FF"/>
    <w:rsid w:val="1A4C698A"/>
    <w:rsid w:val="1A4D778D"/>
    <w:rsid w:val="1A5D5219"/>
    <w:rsid w:val="1A5E4B5A"/>
    <w:rsid w:val="1A672B1C"/>
    <w:rsid w:val="1A7070DD"/>
    <w:rsid w:val="1A805F1C"/>
    <w:rsid w:val="1A8301C0"/>
    <w:rsid w:val="1A872248"/>
    <w:rsid w:val="1A9B2279"/>
    <w:rsid w:val="1A9E6232"/>
    <w:rsid w:val="1AA57BA7"/>
    <w:rsid w:val="1AA74D3D"/>
    <w:rsid w:val="1AB34DB4"/>
    <w:rsid w:val="1AB613FD"/>
    <w:rsid w:val="1AB73747"/>
    <w:rsid w:val="1AC03C10"/>
    <w:rsid w:val="1ACF5EB8"/>
    <w:rsid w:val="1AD26086"/>
    <w:rsid w:val="1ADD5ACE"/>
    <w:rsid w:val="1AE013F8"/>
    <w:rsid w:val="1AE8570C"/>
    <w:rsid w:val="1AF7297B"/>
    <w:rsid w:val="1AF97DCC"/>
    <w:rsid w:val="1AFB06A3"/>
    <w:rsid w:val="1B062896"/>
    <w:rsid w:val="1B0F19AE"/>
    <w:rsid w:val="1B141BBC"/>
    <w:rsid w:val="1B2160BB"/>
    <w:rsid w:val="1B3637AD"/>
    <w:rsid w:val="1B3E0DB5"/>
    <w:rsid w:val="1B454C94"/>
    <w:rsid w:val="1B454E69"/>
    <w:rsid w:val="1B5C1145"/>
    <w:rsid w:val="1B5D79CB"/>
    <w:rsid w:val="1B6B769D"/>
    <w:rsid w:val="1B6C0DF0"/>
    <w:rsid w:val="1B7F6005"/>
    <w:rsid w:val="1B895FBB"/>
    <w:rsid w:val="1B9C269A"/>
    <w:rsid w:val="1B9E64C5"/>
    <w:rsid w:val="1B9E6D4C"/>
    <w:rsid w:val="1BB07CEA"/>
    <w:rsid w:val="1BBD43BA"/>
    <w:rsid w:val="1BC01115"/>
    <w:rsid w:val="1BC44015"/>
    <w:rsid w:val="1BC96DA5"/>
    <w:rsid w:val="1BCA6284"/>
    <w:rsid w:val="1BCC6C47"/>
    <w:rsid w:val="1BE32C74"/>
    <w:rsid w:val="1BFB481C"/>
    <w:rsid w:val="1BFE5FF9"/>
    <w:rsid w:val="1BFE7B2D"/>
    <w:rsid w:val="1C013494"/>
    <w:rsid w:val="1C053414"/>
    <w:rsid w:val="1C0B2707"/>
    <w:rsid w:val="1C132CB9"/>
    <w:rsid w:val="1C1642A1"/>
    <w:rsid w:val="1C2146C5"/>
    <w:rsid w:val="1C240174"/>
    <w:rsid w:val="1C273D33"/>
    <w:rsid w:val="1C4032AB"/>
    <w:rsid w:val="1C456196"/>
    <w:rsid w:val="1C4672ED"/>
    <w:rsid w:val="1C467AB6"/>
    <w:rsid w:val="1C591347"/>
    <w:rsid w:val="1C6277A9"/>
    <w:rsid w:val="1C750818"/>
    <w:rsid w:val="1C7F54CE"/>
    <w:rsid w:val="1C7F743F"/>
    <w:rsid w:val="1C8C4AA9"/>
    <w:rsid w:val="1C8C604B"/>
    <w:rsid w:val="1C92160B"/>
    <w:rsid w:val="1C973EEF"/>
    <w:rsid w:val="1CA03243"/>
    <w:rsid w:val="1CAC112E"/>
    <w:rsid w:val="1CAF5DB2"/>
    <w:rsid w:val="1CB40DF1"/>
    <w:rsid w:val="1CB86812"/>
    <w:rsid w:val="1CC11084"/>
    <w:rsid w:val="1CC71DD3"/>
    <w:rsid w:val="1CCC26CA"/>
    <w:rsid w:val="1CD2156B"/>
    <w:rsid w:val="1CD41743"/>
    <w:rsid w:val="1CD44D3D"/>
    <w:rsid w:val="1CD74798"/>
    <w:rsid w:val="1CD77F43"/>
    <w:rsid w:val="1CE45EF5"/>
    <w:rsid w:val="1CE615C9"/>
    <w:rsid w:val="1CED1E7E"/>
    <w:rsid w:val="1D037029"/>
    <w:rsid w:val="1D0646D0"/>
    <w:rsid w:val="1D0A6B98"/>
    <w:rsid w:val="1D227612"/>
    <w:rsid w:val="1D3305FF"/>
    <w:rsid w:val="1D395282"/>
    <w:rsid w:val="1D3E3A48"/>
    <w:rsid w:val="1D4251BA"/>
    <w:rsid w:val="1D5B2FF2"/>
    <w:rsid w:val="1D5F5386"/>
    <w:rsid w:val="1D70348C"/>
    <w:rsid w:val="1D7072CE"/>
    <w:rsid w:val="1D794A16"/>
    <w:rsid w:val="1D80759A"/>
    <w:rsid w:val="1D8A021B"/>
    <w:rsid w:val="1D9E30A9"/>
    <w:rsid w:val="1DAB1006"/>
    <w:rsid w:val="1DAB2A0A"/>
    <w:rsid w:val="1DB33C11"/>
    <w:rsid w:val="1DC65562"/>
    <w:rsid w:val="1DD34749"/>
    <w:rsid w:val="1DDD201B"/>
    <w:rsid w:val="1DDE2CD1"/>
    <w:rsid w:val="1DE94164"/>
    <w:rsid w:val="1DEE1B11"/>
    <w:rsid w:val="1E105A20"/>
    <w:rsid w:val="1E164B52"/>
    <w:rsid w:val="1E26583C"/>
    <w:rsid w:val="1E273844"/>
    <w:rsid w:val="1E2F243E"/>
    <w:rsid w:val="1E3B4F6B"/>
    <w:rsid w:val="1E455D19"/>
    <w:rsid w:val="1E595CAF"/>
    <w:rsid w:val="1E5C31E8"/>
    <w:rsid w:val="1E6607F9"/>
    <w:rsid w:val="1E691070"/>
    <w:rsid w:val="1E7E6BFD"/>
    <w:rsid w:val="1E805396"/>
    <w:rsid w:val="1E821B53"/>
    <w:rsid w:val="1E884F62"/>
    <w:rsid w:val="1E8D685D"/>
    <w:rsid w:val="1E9D6342"/>
    <w:rsid w:val="1E9D6D15"/>
    <w:rsid w:val="1EA7402F"/>
    <w:rsid w:val="1EA77730"/>
    <w:rsid w:val="1EA80D43"/>
    <w:rsid w:val="1EBC3647"/>
    <w:rsid w:val="1EBD1EAD"/>
    <w:rsid w:val="1EC36E9D"/>
    <w:rsid w:val="1EE25FDD"/>
    <w:rsid w:val="1EEF7878"/>
    <w:rsid w:val="1EF5103F"/>
    <w:rsid w:val="1EF86BDC"/>
    <w:rsid w:val="1EFF621F"/>
    <w:rsid w:val="1F001DEB"/>
    <w:rsid w:val="1F090F9B"/>
    <w:rsid w:val="1F0A0088"/>
    <w:rsid w:val="1F0E5D6B"/>
    <w:rsid w:val="1F0F2943"/>
    <w:rsid w:val="1F1420D0"/>
    <w:rsid w:val="1F194C88"/>
    <w:rsid w:val="1F323C57"/>
    <w:rsid w:val="1F343977"/>
    <w:rsid w:val="1F3E662A"/>
    <w:rsid w:val="1F4F2219"/>
    <w:rsid w:val="1F614D01"/>
    <w:rsid w:val="1F721405"/>
    <w:rsid w:val="1F935819"/>
    <w:rsid w:val="1FA036A3"/>
    <w:rsid w:val="1FA6556D"/>
    <w:rsid w:val="1FAF2571"/>
    <w:rsid w:val="1FB33036"/>
    <w:rsid w:val="1FBC5B95"/>
    <w:rsid w:val="1FC55EDA"/>
    <w:rsid w:val="1FC658C9"/>
    <w:rsid w:val="1FCE593C"/>
    <w:rsid w:val="1FE312AC"/>
    <w:rsid w:val="1FEC5915"/>
    <w:rsid w:val="1FED32EF"/>
    <w:rsid w:val="1FF82884"/>
    <w:rsid w:val="201D018C"/>
    <w:rsid w:val="201E6D7C"/>
    <w:rsid w:val="20446081"/>
    <w:rsid w:val="204852AD"/>
    <w:rsid w:val="204A6449"/>
    <w:rsid w:val="204E6676"/>
    <w:rsid w:val="20580C17"/>
    <w:rsid w:val="20595924"/>
    <w:rsid w:val="205A5AA0"/>
    <w:rsid w:val="20773A28"/>
    <w:rsid w:val="20852AC8"/>
    <w:rsid w:val="208574F4"/>
    <w:rsid w:val="208C4449"/>
    <w:rsid w:val="208F6BAF"/>
    <w:rsid w:val="209414DB"/>
    <w:rsid w:val="20A462BA"/>
    <w:rsid w:val="20BF2AAC"/>
    <w:rsid w:val="20C12114"/>
    <w:rsid w:val="20C849C7"/>
    <w:rsid w:val="20C93EB9"/>
    <w:rsid w:val="20DF66D2"/>
    <w:rsid w:val="20EC3F2E"/>
    <w:rsid w:val="20EC7C3E"/>
    <w:rsid w:val="20F07537"/>
    <w:rsid w:val="20FA77BC"/>
    <w:rsid w:val="210548E9"/>
    <w:rsid w:val="210D14B3"/>
    <w:rsid w:val="21124D15"/>
    <w:rsid w:val="21155A44"/>
    <w:rsid w:val="21164A79"/>
    <w:rsid w:val="211C7DEA"/>
    <w:rsid w:val="213B13E1"/>
    <w:rsid w:val="213E7119"/>
    <w:rsid w:val="21401C29"/>
    <w:rsid w:val="21530058"/>
    <w:rsid w:val="21567D84"/>
    <w:rsid w:val="216608E3"/>
    <w:rsid w:val="21810744"/>
    <w:rsid w:val="218D6EF5"/>
    <w:rsid w:val="2195668B"/>
    <w:rsid w:val="219F69EC"/>
    <w:rsid w:val="21A130EA"/>
    <w:rsid w:val="21B405F8"/>
    <w:rsid w:val="21B5366A"/>
    <w:rsid w:val="21C267BF"/>
    <w:rsid w:val="21C67C42"/>
    <w:rsid w:val="21CB6217"/>
    <w:rsid w:val="21CD6BCD"/>
    <w:rsid w:val="21CE6067"/>
    <w:rsid w:val="21CF439A"/>
    <w:rsid w:val="21D824E4"/>
    <w:rsid w:val="21F00127"/>
    <w:rsid w:val="21F7745C"/>
    <w:rsid w:val="22035C75"/>
    <w:rsid w:val="220D7C54"/>
    <w:rsid w:val="22137E27"/>
    <w:rsid w:val="221D2FA3"/>
    <w:rsid w:val="2226635F"/>
    <w:rsid w:val="222D4F0B"/>
    <w:rsid w:val="223A29CF"/>
    <w:rsid w:val="223D7545"/>
    <w:rsid w:val="22411D14"/>
    <w:rsid w:val="22423BE1"/>
    <w:rsid w:val="22454449"/>
    <w:rsid w:val="22500810"/>
    <w:rsid w:val="22596EC8"/>
    <w:rsid w:val="226347BD"/>
    <w:rsid w:val="22682935"/>
    <w:rsid w:val="226E0A7E"/>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2C2DD6"/>
    <w:rsid w:val="233C6F76"/>
    <w:rsid w:val="234449F5"/>
    <w:rsid w:val="23536618"/>
    <w:rsid w:val="236200EB"/>
    <w:rsid w:val="236C1BCA"/>
    <w:rsid w:val="237464D5"/>
    <w:rsid w:val="23816932"/>
    <w:rsid w:val="23925D42"/>
    <w:rsid w:val="239C062C"/>
    <w:rsid w:val="23A9484E"/>
    <w:rsid w:val="23B32F98"/>
    <w:rsid w:val="23B84268"/>
    <w:rsid w:val="23D17D7B"/>
    <w:rsid w:val="23D36D91"/>
    <w:rsid w:val="23E02099"/>
    <w:rsid w:val="23F70BA5"/>
    <w:rsid w:val="23F93D0D"/>
    <w:rsid w:val="2405417E"/>
    <w:rsid w:val="24197365"/>
    <w:rsid w:val="241B5C62"/>
    <w:rsid w:val="241E70F6"/>
    <w:rsid w:val="24312CB0"/>
    <w:rsid w:val="24513B48"/>
    <w:rsid w:val="2458381E"/>
    <w:rsid w:val="245872F9"/>
    <w:rsid w:val="245943D9"/>
    <w:rsid w:val="245E6B64"/>
    <w:rsid w:val="2463385E"/>
    <w:rsid w:val="246B2606"/>
    <w:rsid w:val="24767C7B"/>
    <w:rsid w:val="247C178B"/>
    <w:rsid w:val="24861BCE"/>
    <w:rsid w:val="24967323"/>
    <w:rsid w:val="249D5FC8"/>
    <w:rsid w:val="24A1538E"/>
    <w:rsid w:val="24B9450F"/>
    <w:rsid w:val="24C25350"/>
    <w:rsid w:val="24C83F94"/>
    <w:rsid w:val="24D82EE2"/>
    <w:rsid w:val="24F536AF"/>
    <w:rsid w:val="24F60CDA"/>
    <w:rsid w:val="24FE42EB"/>
    <w:rsid w:val="25090336"/>
    <w:rsid w:val="250D450C"/>
    <w:rsid w:val="25134332"/>
    <w:rsid w:val="25141A5B"/>
    <w:rsid w:val="2521546A"/>
    <w:rsid w:val="252242ED"/>
    <w:rsid w:val="252A2BA6"/>
    <w:rsid w:val="252B49E0"/>
    <w:rsid w:val="252D3CC1"/>
    <w:rsid w:val="254A35DD"/>
    <w:rsid w:val="255D45FE"/>
    <w:rsid w:val="25657E8F"/>
    <w:rsid w:val="25691F8B"/>
    <w:rsid w:val="256E76DE"/>
    <w:rsid w:val="25733F7D"/>
    <w:rsid w:val="25734B61"/>
    <w:rsid w:val="257632D6"/>
    <w:rsid w:val="25855673"/>
    <w:rsid w:val="258F6BC4"/>
    <w:rsid w:val="2597510C"/>
    <w:rsid w:val="25975923"/>
    <w:rsid w:val="259A3D0A"/>
    <w:rsid w:val="25A95F3E"/>
    <w:rsid w:val="25BD12A6"/>
    <w:rsid w:val="25BF0CF9"/>
    <w:rsid w:val="25BF6041"/>
    <w:rsid w:val="25C35718"/>
    <w:rsid w:val="25C61D8C"/>
    <w:rsid w:val="25CF0252"/>
    <w:rsid w:val="25D0248E"/>
    <w:rsid w:val="25D61C5C"/>
    <w:rsid w:val="25F81D70"/>
    <w:rsid w:val="25FB5636"/>
    <w:rsid w:val="25FE58A9"/>
    <w:rsid w:val="26006FFE"/>
    <w:rsid w:val="26026DCF"/>
    <w:rsid w:val="26070462"/>
    <w:rsid w:val="260D2C45"/>
    <w:rsid w:val="261B63E3"/>
    <w:rsid w:val="262E3CBF"/>
    <w:rsid w:val="26395C92"/>
    <w:rsid w:val="2641231E"/>
    <w:rsid w:val="264252DF"/>
    <w:rsid w:val="26465DA0"/>
    <w:rsid w:val="26562F1C"/>
    <w:rsid w:val="26577EF5"/>
    <w:rsid w:val="265A5249"/>
    <w:rsid w:val="266237C3"/>
    <w:rsid w:val="267550B9"/>
    <w:rsid w:val="26996DAE"/>
    <w:rsid w:val="26BE1846"/>
    <w:rsid w:val="26C472EC"/>
    <w:rsid w:val="26E51F4F"/>
    <w:rsid w:val="26EC491A"/>
    <w:rsid w:val="26ED73E1"/>
    <w:rsid w:val="26EE2CB6"/>
    <w:rsid w:val="26F503CD"/>
    <w:rsid w:val="27036506"/>
    <w:rsid w:val="27047832"/>
    <w:rsid w:val="2706037D"/>
    <w:rsid w:val="27077793"/>
    <w:rsid w:val="270D152E"/>
    <w:rsid w:val="271436A9"/>
    <w:rsid w:val="27204B5D"/>
    <w:rsid w:val="27257DE1"/>
    <w:rsid w:val="272F31A0"/>
    <w:rsid w:val="27310CAC"/>
    <w:rsid w:val="27342901"/>
    <w:rsid w:val="273A0BAD"/>
    <w:rsid w:val="273D2762"/>
    <w:rsid w:val="27470B72"/>
    <w:rsid w:val="27525E32"/>
    <w:rsid w:val="27604751"/>
    <w:rsid w:val="276D111F"/>
    <w:rsid w:val="2778582E"/>
    <w:rsid w:val="27806765"/>
    <w:rsid w:val="27821DE7"/>
    <w:rsid w:val="27832596"/>
    <w:rsid w:val="278C1620"/>
    <w:rsid w:val="279B1E53"/>
    <w:rsid w:val="279C5F0C"/>
    <w:rsid w:val="27AA3521"/>
    <w:rsid w:val="27AB7429"/>
    <w:rsid w:val="27B301E9"/>
    <w:rsid w:val="27C57B2B"/>
    <w:rsid w:val="27C8029E"/>
    <w:rsid w:val="27CC78AC"/>
    <w:rsid w:val="27D72FE7"/>
    <w:rsid w:val="27D86029"/>
    <w:rsid w:val="27DD45ED"/>
    <w:rsid w:val="27E3651B"/>
    <w:rsid w:val="27E864CC"/>
    <w:rsid w:val="27EC25E3"/>
    <w:rsid w:val="27ED0939"/>
    <w:rsid w:val="27F1498B"/>
    <w:rsid w:val="27F80CA0"/>
    <w:rsid w:val="28021134"/>
    <w:rsid w:val="2802750E"/>
    <w:rsid w:val="28027A71"/>
    <w:rsid w:val="281D5376"/>
    <w:rsid w:val="281F4F67"/>
    <w:rsid w:val="282857E6"/>
    <w:rsid w:val="283744B4"/>
    <w:rsid w:val="283E7768"/>
    <w:rsid w:val="28485D62"/>
    <w:rsid w:val="28517107"/>
    <w:rsid w:val="28524ABE"/>
    <w:rsid w:val="285560D7"/>
    <w:rsid w:val="286C77D1"/>
    <w:rsid w:val="286E74F1"/>
    <w:rsid w:val="28760CA0"/>
    <w:rsid w:val="287B218C"/>
    <w:rsid w:val="288A05DD"/>
    <w:rsid w:val="288C7637"/>
    <w:rsid w:val="28937D89"/>
    <w:rsid w:val="289B0550"/>
    <w:rsid w:val="28A044B5"/>
    <w:rsid w:val="28BD3F79"/>
    <w:rsid w:val="28C8606D"/>
    <w:rsid w:val="28C96C14"/>
    <w:rsid w:val="28DC6BC2"/>
    <w:rsid w:val="28DE11F1"/>
    <w:rsid w:val="28E138E3"/>
    <w:rsid w:val="28E74216"/>
    <w:rsid w:val="28E87EE4"/>
    <w:rsid w:val="28F61640"/>
    <w:rsid w:val="28FD484F"/>
    <w:rsid w:val="290212AC"/>
    <w:rsid w:val="2903396A"/>
    <w:rsid w:val="294E766A"/>
    <w:rsid w:val="2952590A"/>
    <w:rsid w:val="297161D3"/>
    <w:rsid w:val="2978319A"/>
    <w:rsid w:val="29886D49"/>
    <w:rsid w:val="29897A2F"/>
    <w:rsid w:val="29A015B3"/>
    <w:rsid w:val="29A02DFF"/>
    <w:rsid w:val="29A21A99"/>
    <w:rsid w:val="29A3014B"/>
    <w:rsid w:val="29A74CBD"/>
    <w:rsid w:val="29A80BF5"/>
    <w:rsid w:val="29B01C34"/>
    <w:rsid w:val="29B16357"/>
    <w:rsid w:val="29BA0D88"/>
    <w:rsid w:val="29BB3E72"/>
    <w:rsid w:val="29CF32B2"/>
    <w:rsid w:val="29DE15A2"/>
    <w:rsid w:val="29EC475A"/>
    <w:rsid w:val="29EF3680"/>
    <w:rsid w:val="29EF424E"/>
    <w:rsid w:val="29FA7F26"/>
    <w:rsid w:val="2A0B7871"/>
    <w:rsid w:val="2A166823"/>
    <w:rsid w:val="2A35650F"/>
    <w:rsid w:val="2A405845"/>
    <w:rsid w:val="2A4562D4"/>
    <w:rsid w:val="2A495775"/>
    <w:rsid w:val="2A4D593F"/>
    <w:rsid w:val="2A5066E4"/>
    <w:rsid w:val="2A6C2D77"/>
    <w:rsid w:val="2A6E31F8"/>
    <w:rsid w:val="2A7270B7"/>
    <w:rsid w:val="2A87174E"/>
    <w:rsid w:val="2A8A2F9C"/>
    <w:rsid w:val="2A8D5BF1"/>
    <w:rsid w:val="2AA45D17"/>
    <w:rsid w:val="2AAB3B94"/>
    <w:rsid w:val="2AAC5A06"/>
    <w:rsid w:val="2AB775FB"/>
    <w:rsid w:val="2ABB3D6F"/>
    <w:rsid w:val="2AC70B30"/>
    <w:rsid w:val="2ACC2AAF"/>
    <w:rsid w:val="2AD74744"/>
    <w:rsid w:val="2AD91AC2"/>
    <w:rsid w:val="2AE57C95"/>
    <w:rsid w:val="2AF34B3D"/>
    <w:rsid w:val="2AF35C8B"/>
    <w:rsid w:val="2B055F4D"/>
    <w:rsid w:val="2B0C0EEE"/>
    <w:rsid w:val="2B112D02"/>
    <w:rsid w:val="2B132265"/>
    <w:rsid w:val="2B214776"/>
    <w:rsid w:val="2B2843BE"/>
    <w:rsid w:val="2B313FC1"/>
    <w:rsid w:val="2B347C14"/>
    <w:rsid w:val="2B39348E"/>
    <w:rsid w:val="2B437285"/>
    <w:rsid w:val="2B494377"/>
    <w:rsid w:val="2B4D695C"/>
    <w:rsid w:val="2B514803"/>
    <w:rsid w:val="2B5E6C2A"/>
    <w:rsid w:val="2B637D4B"/>
    <w:rsid w:val="2B6B1684"/>
    <w:rsid w:val="2B7B70BF"/>
    <w:rsid w:val="2B853AF3"/>
    <w:rsid w:val="2B8B422C"/>
    <w:rsid w:val="2BA07D38"/>
    <w:rsid w:val="2BC40957"/>
    <w:rsid w:val="2BCA5C66"/>
    <w:rsid w:val="2BCB5DAA"/>
    <w:rsid w:val="2BD65380"/>
    <w:rsid w:val="2BD86372"/>
    <w:rsid w:val="2BD964AF"/>
    <w:rsid w:val="2BDA39FD"/>
    <w:rsid w:val="2BE725D0"/>
    <w:rsid w:val="2BF369B9"/>
    <w:rsid w:val="2BFC0A4A"/>
    <w:rsid w:val="2C094904"/>
    <w:rsid w:val="2C0E55A1"/>
    <w:rsid w:val="2C346DB5"/>
    <w:rsid w:val="2C3A7BF6"/>
    <w:rsid w:val="2C425BCE"/>
    <w:rsid w:val="2C44676A"/>
    <w:rsid w:val="2C495C38"/>
    <w:rsid w:val="2C4A080C"/>
    <w:rsid w:val="2C4E77B9"/>
    <w:rsid w:val="2C54533B"/>
    <w:rsid w:val="2C591378"/>
    <w:rsid w:val="2C6264D4"/>
    <w:rsid w:val="2C797A76"/>
    <w:rsid w:val="2C8B6C0E"/>
    <w:rsid w:val="2C8F4862"/>
    <w:rsid w:val="2C9E5AC8"/>
    <w:rsid w:val="2CA05674"/>
    <w:rsid w:val="2CA2721B"/>
    <w:rsid w:val="2CAC6D87"/>
    <w:rsid w:val="2CB268EE"/>
    <w:rsid w:val="2CB600FC"/>
    <w:rsid w:val="2CCB6E18"/>
    <w:rsid w:val="2CCF5C52"/>
    <w:rsid w:val="2CE8526F"/>
    <w:rsid w:val="2D026315"/>
    <w:rsid w:val="2D0764BD"/>
    <w:rsid w:val="2D0A3DA2"/>
    <w:rsid w:val="2D0B3169"/>
    <w:rsid w:val="2D0D4219"/>
    <w:rsid w:val="2D105AFA"/>
    <w:rsid w:val="2D2279B8"/>
    <w:rsid w:val="2D274320"/>
    <w:rsid w:val="2D2D2DE2"/>
    <w:rsid w:val="2D324CCC"/>
    <w:rsid w:val="2D340E86"/>
    <w:rsid w:val="2D395427"/>
    <w:rsid w:val="2D3A2269"/>
    <w:rsid w:val="2D3D0E02"/>
    <w:rsid w:val="2D510F65"/>
    <w:rsid w:val="2D5436FA"/>
    <w:rsid w:val="2D59263A"/>
    <w:rsid w:val="2D62469E"/>
    <w:rsid w:val="2D6B40A9"/>
    <w:rsid w:val="2D8A3FA2"/>
    <w:rsid w:val="2D9767DC"/>
    <w:rsid w:val="2D980DDC"/>
    <w:rsid w:val="2D987372"/>
    <w:rsid w:val="2DA23689"/>
    <w:rsid w:val="2DB56109"/>
    <w:rsid w:val="2DBC2A76"/>
    <w:rsid w:val="2DC66A91"/>
    <w:rsid w:val="2DC92AA1"/>
    <w:rsid w:val="2DCE5F69"/>
    <w:rsid w:val="2DD51812"/>
    <w:rsid w:val="2DD63DB4"/>
    <w:rsid w:val="2DD7370C"/>
    <w:rsid w:val="2DDD4F0A"/>
    <w:rsid w:val="2E147A92"/>
    <w:rsid w:val="2E34792A"/>
    <w:rsid w:val="2E350F1E"/>
    <w:rsid w:val="2E376AEB"/>
    <w:rsid w:val="2E437E73"/>
    <w:rsid w:val="2E4A5201"/>
    <w:rsid w:val="2E5034DC"/>
    <w:rsid w:val="2E572AB9"/>
    <w:rsid w:val="2E600E38"/>
    <w:rsid w:val="2E7258DC"/>
    <w:rsid w:val="2E7545D2"/>
    <w:rsid w:val="2E79458E"/>
    <w:rsid w:val="2E797A78"/>
    <w:rsid w:val="2E7A5F31"/>
    <w:rsid w:val="2E7C6A94"/>
    <w:rsid w:val="2E8321A5"/>
    <w:rsid w:val="2E8D14A8"/>
    <w:rsid w:val="2E95430E"/>
    <w:rsid w:val="2E9A2060"/>
    <w:rsid w:val="2E9F6D95"/>
    <w:rsid w:val="2EAE350B"/>
    <w:rsid w:val="2EB20A6C"/>
    <w:rsid w:val="2EBC2287"/>
    <w:rsid w:val="2EC3466D"/>
    <w:rsid w:val="2EC44440"/>
    <w:rsid w:val="2ECA3116"/>
    <w:rsid w:val="2EDD7896"/>
    <w:rsid w:val="2EEA6E65"/>
    <w:rsid w:val="2EF33C7C"/>
    <w:rsid w:val="2F00052B"/>
    <w:rsid w:val="2F0367CD"/>
    <w:rsid w:val="2F1251F2"/>
    <w:rsid w:val="2F2D445E"/>
    <w:rsid w:val="2F4B20A5"/>
    <w:rsid w:val="2F4F6FBB"/>
    <w:rsid w:val="2F664E2B"/>
    <w:rsid w:val="2F6C7BE3"/>
    <w:rsid w:val="2F783485"/>
    <w:rsid w:val="2F7A17CB"/>
    <w:rsid w:val="2F7A78AC"/>
    <w:rsid w:val="2F7F5C0B"/>
    <w:rsid w:val="2F8159ED"/>
    <w:rsid w:val="2F853DC6"/>
    <w:rsid w:val="2F895685"/>
    <w:rsid w:val="2F9A13B4"/>
    <w:rsid w:val="2FA6492D"/>
    <w:rsid w:val="2FC86676"/>
    <w:rsid w:val="2FCA31B3"/>
    <w:rsid w:val="2FD17A1B"/>
    <w:rsid w:val="2FD71CA4"/>
    <w:rsid w:val="2FDC432A"/>
    <w:rsid w:val="2FDC4A8D"/>
    <w:rsid w:val="2FE27109"/>
    <w:rsid w:val="2FEA743A"/>
    <w:rsid w:val="2FF24D11"/>
    <w:rsid w:val="2FF93066"/>
    <w:rsid w:val="301742B2"/>
    <w:rsid w:val="301A1509"/>
    <w:rsid w:val="301A71CE"/>
    <w:rsid w:val="301D63DD"/>
    <w:rsid w:val="301E049B"/>
    <w:rsid w:val="302A4BE6"/>
    <w:rsid w:val="304478EC"/>
    <w:rsid w:val="304937D1"/>
    <w:rsid w:val="304F4511"/>
    <w:rsid w:val="30515C8E"/>
    <w:rsid w:val="305823FF"/>
    <w:rsid w:val="308961AC"/>
    <w:rsid w:val="30926F91"/>
    <w:rsid w:val="30962F3E"/>
    <w:rsid w:val="30A85733"/>
    <w:rsid w:val="30AA2585"/>
    <w:rsid w:val="30C16A19"/>
    <w:rsid w:val="30C262B6"/>
    <w:rsid w:val="30CB5800"/>
    <w:rsid w:val="30D32236"/>
    <w:rsid w:val="30E43E12"/>
    <w:rsid w:val="30E53B71"/>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E5000"/>
    <w:rsid w:val="31870868"/>
    <w:rsid w:val="31875BB4"/>
    <w:rsid w:val="31894001"/>
    <w:rsid w:val="31A9328B"/>
    <w:rsid w:val="31B718F2"/>
    <w:rsid w:val="31C57B88"/>
    <w:rsid w:val="31D20051"/>
    <w:rsid w:val="31D811CF"/>
    <w:rsid w:val="31E745D2"/>
    <w:rsid w:val="31EF7EE8"/>
    <w:rsid w:val="3201404F"/>
    <w:rsid w:val="320901F5"/>
    <w:rsid w:val="320B7CCB"/>
    <w:rsid w:val="32105DE8"/>
    <w:rsid w:val="322E2721"/>
    <w:rsid w:val="3235187E"/>
    <w:rsid w:val="3237186B"/>
    <w:rsid w:val="323B6798"/>
    <w:rsid w:val="32537B57"/>
    <w:rsid w:val="325779E7"/>
    <w:rsid w:val="325F618E"/>
    <w:rsid w:val="32757E99"/>
    <w:rsid w:val="327D43E5"/>
    <w:rsid w:val="32842CF3"/>
    <w:rsid w:val="328F2182"/>
    <w:rsid w:val="328F5534"/>
    <w:rsid w:val="329A6217"/>
    <w:rsid w:val="329A6ACE"/>
    <w:rsid w:val="329C2950"/>
    <w:rsid w:val="32A145CA"/>
    <w:rsid w:val="32A230DB"/>
    <w:rsid w:val="32B52836"/>
    <w:rsid w:val="32DF351E"/>
    <w:rsid w:val="32EE5E41"/>
    <w:rsid w:val="32EF0430"/>
    <w:rsid w:val="32F1510B"/>
    <w:rsid w:val="32F40F87"/>
    <w:rsid w:val="32F520B9"/>
    <w:rsid w:val="32FD7C76"/>
    <w:rsid w:val="330414AF"/>
    <w:rsid w:val="330C22FC"/>
    <w:rsid w:val="33231081"/>
    <w:rsid w:val="332A6617"/>
    <w:rsid w:val="33540E5D"/>
    <w:rsid w:val="335A0521"/>
    <w:rsid w:val="335D7182"/>
    <w:rsid w:val="335E7B11"/>
    <w:rsid w:val="3364318B"/>
    <w:rsid w:val="33691888"/>
    <w:rsid w:val="336A499A"/>
    <w:rsid w:val="33714830"/>
    <w:rsid w:val="33737F51"/>
    <w:rsid w:val="3375654F"/>
    <w:rsid w:val="337964FF"/>
    <w:rsid w:val="337D34FB"/>
    <w:rsid w:val="337E2DAF"/>
    <w:rsid w:val="338952C6"/>
    <w:rsid w:val="33A47053"/>
    <w:rsid w:val="33AD5111"/>
    <w:rsid w:val="33BF4199"/>
    <w:rsid w:val="33CD23A8"/>
    <w:rsid w:val="33CD6498"/>
    <w:rsid w:val="33D7554F"/>
    <w:rsid w:val="33D825FA"/>
    <w:rsid w:val="33DB2AB1"/>
    <w:rsid w:val="33FE62E7"/>
    <w:rsid w:val="34080399"/>
    <w:rsid w:val="340D25F6"/>
    <w:rsid w:val="34161D6C"/>
    <w:rsid w:val="341E19AD"/>
    <w:rsid w:val="3429226D"/>
    <w:rsid w:val="342B76C7"/>
    <w:rsid w:val="34345BC4"/>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9657C"/>
    <w:rsid w:val="34A52713"/>
    <w:rsid w:val="34BD02AE"/>
    <w:rsid w:val="34BD32A6"/>
    <w:rsid w:val="34C20DC7"/>
    <w:rsid w:val="34DA26A8"/>
    <w:rsid w:val="34DE2B9F"/>
    <w:rsid w:val="34DF0124"/>
    <w:rsid w:val="34E145D2"/>
    <w:rsid w:val="34E75EA5"/>
    <w:rsid w:val="34E960F1"/>
    <w:rsid w:val="34EE6187"/>
    <w:rsid w:val="350A65C4"/>
    <w:rsid w:val="350B42D5"/>
    <w:rsid w:val="350F6258"/>
    <w:rsid w:val="351A603C"/>
    <w:rsid w:val="352142FB"/>
    <w:rsid w:val="352821F6"/>
    <w:rsid w:val="352841DA"/>
    <w:rsid w:val="352866CC"/>
    <w:rsid w:val="3533698A"/>
    <w:rsid w:val="35387F19"/>
    <w:rsid w:val="3539550B"/>
    <w:rsid w:val="354D5E0E"/>
    <w:rsid w:val="355D10E3"/>
    <w:rsid w:val="356150BC"/>
    <w:rsid w:val="356678B4"/>
    <w:rsid w:val="3573649F"/>
    <w:rsid w:val="357E4B0A"/>
    <w:rsid w:val="35866D7F"/>
    <w:rsid w:val="358F6BDF"/>
    <w:rsid w:val="35A440D7"/>
    <w:rsid w:val="35C06D50"/>
    <w:rsid w:val="35CD6F14"/>
    <w:rsid w:val="35D24294"/>
    <w:rsid w:val="35D71152"/>
    <w:rsid w:val="35F629BD"/>
    <w:rsid w:val="35FF6F3C"/>
    <w:rsid w:val="3600359A"/>
    <w:rsid w:val="36075F27"/>
    <w:rsid w:val="36121506"/>
    <w:rsid w:val="36124877"/>
    <w:rsid w:val="36180A4A"/>
    <w:rsid w:val="361D1DFD"/>
    <w:rsid w:val="361D7A43"/>
    <w:rsid w:val="361E658D"/>
    <w:rsid w:val="361F3323"/>
    <w:rsid w:val="363019EB"/>
    <w:rsid w:val="36326D0C"/>
    <w:rsid w:val="363E0457"/>
    <w:rsid w:val="36402EFA"/>
    <w:rsid w:val="36496A51"/>
    <w:rsid w:val="364F7CD0"/>
    <w:rsid w:val="36535FD0"/>
    <w:rsid w:val="365623F6"/>
    <w:rsid w:val="366B1251"/>
    <w:rsid w:val="366C7E67"/>
    <w:rsid w:val="368230C6"/>
    <w:rsid w:val="36843A03"/>
    <w:rsid w:val="368F7E4F"/>
    <w:rsid w:val="36985297"/>
    <w:rsid w:val="369F633B"/>
    <w:rsid w:val="36A30FDB"/>
    <w:rsid w:val="36A7007C"/>
    <w:rsid w:val="36B24AE8"/>
    <w:rsid w:val="36BD0DC4"/>
    <w:rsid w:val="36C048FC"/>
    <w:rsid w:val="36D51D00"/>
    <w:rsid w:val="36D66B5E"/>
    <w:rsid w:val="36D86634"/>
    <w:rsid w:val="36DE4AF9"/>
    <w:rsid w:val="36E410A4"/>
    <w:rsid w:val="36E903C3"/>
    <w:rsid w:val="36E93760"/>
    <w:rsid w:val="36F4550C"/>
    <w:rsid w:val="36F87994"/>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625C1C"/>
    <w:rsid w:val="377519F1"/>
    <w:rsid w:val="377B528D"/>
    <w:rsid w:val="377D206E"/>
    <w:rsid w:val="377D4DA8"/>
    <w:rsid w:val="378229A7"/>
    <w:rsid w:val="3784394E"/>
    <w:rsid w:val="37946975"/>
    <w:rsid w:val="37977837"/>
    <w:rsid w:val="37987437"/>
    <w:rsid w:val="379F33FC"/>
    <w:rsid w:val="37A432E4"/>
    <w:rsid w:val="37A86196"/>
    <w:rsid w:val="37B402B7"/>
    <w:rsid w:val="37C94031"/>
    <w:rsid w:val="37CA042E"/>
    <w:rsid w:val="37CA2635"/>
    <w:rsid w:val="37D44549"/>
    <w:rsid w:val="37D77B09"/>
    <w:rsid w:val="37D931A8"/>
    <w:rsid w:val="37D97EDE"/>
    <w:rsid w:val="37DD02B8"/>
    <w:rsid w:val="37E76E34"/>
    <w:rsid w:val="380632B2"/>
    <w:rsid w:val="380D02B1"/>
    <w:rsid w:val="38190834"/>
    <w:rsid w:val="381C3EB1"/>
    <w:rsid w:val="381E409C"/>
    <w:rsid w:val="382B1BDF"/>
    <w:rsid w:val="382E392C"/>
    <w:rsid w:val="38310B25"/>
    <w:rsid w:val="38325D99"/>
    <w:rsid w:val="38342E90"/>
    <w:rsid w:val="38451B7E"/>
    <w:rsid w:val="384B7332"/>
    <w:rsid w:val="384E20F8"/>
    <w:rsid w:val="385056AF"/>
    <w:rsid w:val="386A7142"/>
    <w:rsid w:val="386E0B2C"/>
    <w:rsid w:val="38706DCB"/>
    <w:rsid w:val="387E793E"/>
    <w:rsid w:val="388E5848"/>
    <w:rsid w:val="389E7B13"/>
    <w:rsid w:val="38A341A7"/>
    <w:rsid w:val="38AF6B7E"/>
    <w:rsid w:val="38BD240C"/>
    <w:rsid w:val="38BD31EE"/>
    <w:rsid w:val="38C05985"/>
    <w:rsid w:val="38C2629A"/>
    <w:rsid w:val="38CB3BDF"/>
    <w:rsid w:val="38CD22F1"/>
    <w:rsid w:val="38D33D29"/>
    <w:rsid w:val="38D41CCF"/>
    <w:rsid w:val="38E40A5B"/>
    <w:rsid w:val="38E51952"/>
    <w:rsid w:val="38F16A28"/>
    <w:rsid w:val="3913128B"/>
    <w:rsid w:val="391A3359"/>
    <w:rsid w:val="39285D57"/>
    <w:rsid w:val="39315D4D"/>
    <w:rsid w:val="394B6470"/>
    <w:rsid w:val="395C6EA8"/>
    <w:rsid w:val="39872512"/>
    <w:rsid w:val="39A602F9"/>
    <w:rsid w:val="39BD45C8"/>
    <w:rsid w:val="39C2316A"/>
    <w:rsid w:val="39CF12D2"/>
    <w:rsid w:val="39D92970"/>
    <w:rsid w:val="39F36281"/>
    <w:rsid w:val="39FD376D"/>
    <w:rsid w:val="39FD6C9C"/>
    <w:rsid w:val="39FF6B36"/>
    <w:rsid w:val="3A0224B9"/>
    <w:rsid w:val="3A04278D"/>
    <w:rsid w:val="3A0526B5"/>
    <w:rsid w:val="3A14011B"/>
    <w:rsid w:val="3A1509F4"/>
    <w:rsid w:val="3A16728B"/>
    <w:rsid w:val="3A16794C"/>
    <w:rsid w:val="3A1F6809"/>
    <w:rsid w:val="3A226969"/>
    <w:rsid w:val="3A3F47CE"/>
    <w:rsid w:val="3A410243"/>
    <w:rsid w:val="3A4D7CEA"/>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D1A41"/>
    <w:rsid w:val="3B3E5BDD"/>
    <w:rsid w:val="3B552653"/>
    <w:rsid w:val="3B5A2A22"/>
    <w:rsid w:val="3B707794"/>
    <w:rsid w:val="3B7804A3"/>
    <w:rsid w:val="3B8E2153"/>
    <w:rsid w:val="3B9B2072"/>
    <w:rsid w:val="3BA03B83"/>
    <w:rsid w:val="3BA91F03"/>
    <w:rsid w:val="3BB16FA6"/>
    <w:rsid w:val="3BB17CE6"/>
    <w:rsid w:val="3BB20883"/>
    <w:rsid w:val="3BB448B0"/>
    <w:rsid w:val="3BC34E75"/>
    <w:rsid w:val="3BCB270F"/>
    <w:rsid w:val="3BD569C2"/>
    <w:rsid w:val="3BD96AA6"/>
    <w:rsid w:val="3BDB053C"/>
    <w:rsid w:val="3BED002E"/>
    <w:rsid w:val="3C0429BF"/>
    <w:rsid w:val="3C066389"/>
    <w:rsid w:val="3C0D66FC"/>
    <w:rsid w:val="3C120C48"/>
    <w:rsid w:val="3C1A201A"/>
    <w:rsid w:val="3C276807"/>
    <w:rsid w:val="3C2F1796"/>
    <w:rsid w:val="3C3274E5"/>
    <w:rsid w:val="3C371D4B"/>
    <w:rsid w:val="3C382561"/>
    <w:rsid w:val="3C3B4B9D"/>
    <w:rsid w:val="3C3F772B"/>
    <w:rsid w:val="3C413C82"/>
    <w:rsid w:val="3C471C36"/>
    <w:rsid w:val="3C4B0140"/>
    <w:rsid w:val="3C4D66ED"/>
    <w:rsid w:val="3C577D11"/>
    <w:rsid w:val="3C5A6B66"/>
    <w:rsid w:val="3C6472A5"/>
    <w:rsid w:val="3C6879A9"/>
    <w:rsid w:val="3C734413"/>
    <w:rsid w:val="3C7A6E5A"/>
    <w:rsid w:val="3C8869CA"/>
    <w:rsid w:val="3C982C18"/>
    <w:rsid w:val="3C9F2296"/>
    <w:rsid w:val="3CA734F8"/>
    <w:rsid w:val="3CA95F71"/>
    <w:rsid w:val="3CB33ABD"/>
    <w:rsid w:val="3CC16893"/>
    <w:rsid w:val="3CC74223"/>
    <w:rsid w:val="3CC828D0"/>
    <w:rsid w:val="3CCB43BE"/>
    <w:rsid w:val="3CDA6EE3"/>
    <w:rsid w:val="3CDB5F96"/>
    <w:rsid w:val="3CE23F49"/>
    <w:rsid w:val="3CE242F0"/>
    <w:rsid w:val="3CEA4F7F"/>
    <w:rsid w:val="3CEC39B8"/>
    <w:rsid w:val="3CF20887"/>
    <w:rsid w:val="3CF37919"/>
    <w:rsid w:val="3CF720E3"/>
    <w:rsid w:val="3CF72D6A"/>
    <w:rsid w:val="3CF86D06"/>
    <w:rsid w:val="3D00620E"/>
    <w:rsid w:val="3D035226"/>
    <w:rsid w:val="3D0E4AD7"/>
    <w:rsid w:val="3D31576C"/>
    <w:rsid w:val="3D316CDB"/>
    <w:rsid w:val="3D3768D2"/>
    <w:rsid w:val="3D3A3838"/>
    <w:rsid w:val="3D3D6BBD"/>
    <w:rsid w:val="3D450F8C"/>
    <w:rsid w:val="3D477118"/>
    <w:rsid w:val="3D4933CF"/>
    <w:rsid w:val="3D51285A"/>
    <w:rsid w:val="3D594E54"/>
    <w:rsid w:val="3D62706F"/>
    <w:rsid w:val="3D6E2272"/>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0F7A7E"/>
    <w:rsid w:val="3E1328D6"/>
    <w:rsid w:val="3E1B7668"/>
    <w:rsid w:val="3E1C6544"/>
    <w:rsid w:val="3E1D4B24"/>
    <w:rsid w:val="3E2A7B0A"/>
    <w:rsid w:val="3E314520"/>
    <w:rsid w:val="3E3A04FA"/>
    <w:rsid w:val="3E3D6B96"/>
    <w:rsid w:val="3E3F202E"/>
    <w:rsid w:val="3E441C7D"/>
    <w:rsid w:val="3E490256"/>
    <w:rsid w:val="3E4C2EC5"/>
    <w:rsid w:val="3E55739E"/>
    <w:rsid w:val="3E5A44B0"/>
    <w:rsid w:val="3E681C1A"/>
    <w:rsid w:val="3E6C43C8"/>
    <w:rsid w:val="3E8227F0"/>
    <w:rsid w:val="3E937F82"/>
    <w:rsid w:val="3E9B4B40"/>
    <w:rsid w:val="3EB71AC8"/>
    <w:rsid w:val="3EC6605A"/>
    <w:rsid w:val="3EC85E34"/>
    <w:rsid w:val="3ECF2AAC"/>
    <w:rsid w:val="3ED0424C"/>
    <w:rsid w:val="3ED07B7E"/>
    <w:rsid w:val="3EF31E7F"/>
    <w:rsid w:val="3EF36DF0"/>
    <w:rsid w:val="3F035EE1"/>
    <w:rsid w:val="3F053EF6"/>
    <w:rsid w:val="3F093188"/>
    <w:rsid w:val="3F0C1E13"/>
    <w:rsid w:val="3F173F6B"/>
    <w:rsid w:val="3F1E1DE8"/>
    <w:rsid w:val="3F212E94"/>
    <w:rsid w:val="3F253B0C"/>
    <w:rsid w:val="3F2853A7"/>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B45C58"/>
    <w:rsid w:val="3FB53ACC"/>
    <w:rsid w:val="3FBA1D11"/>
    <w:rsid w:val="3FC36557"/>
    <w:rsid w:val="3FC956FF"/>
    <w:rsid w:val="3FD13F50"/>
    <w:rsid w:val="3FDC5F31"/>
    <w:rsid w:val="3FE04625"/>
    <w:rsid w:val="3FE86CE8"/>
    <w:rsid w:val="3FEF3DCD"/>
    <w:rsid w:val="3FF148F7"/>
    <w:rsid w:val="3FFB0F66"/>
    <w:rsid w:val="40022F93"/>
    <w:rsid w:val="400E6DDA"/>
    <w:rsid w:val="40146E6B"/>
    <w:rsid w:val="40225B50"/>
    <w:rsid w:val="403052F1"/>
    <w:rsid w:val="40330D29"/>
    <w:rsid w:val="404469FD"/>
    <w:rsid w:val="404A2717"/>
    <w:rsid w:val="404E779F"/>
    <w:rsid w:val="4059090D"/>
    <w:rsid w:val="405B64B7"/>
    <w:rsid w:val="4065170A"/>
    <w:rsid w:val="40687776"/>
    <w:rsid w:val="406966BC"/>
    <w:rsid w:val="406C4DFB"/>
    <w:rsid w:val="406E5CAB"/>
    <w:rsid w:val="40713C35"/>
    <w:rsid w:val="40823B87"/>
    <w:rsid w:val="408355D6"/>
    <w:rsid w:val="408376F8"/>
    <w:rsid w:val="40A163F1"/>
    <w:rsid w:val="40A25054"/>
    <w:rsid w:val="40A325E0"/>
    <w:rsid w:val="40AE30AC"/>
    <w:rsid w:val="40AE7A15"/>
    <w:rsid w:val="40B41AE2"/>
    <w:rsid w:val="40B7228C"/>
    <w:rsid w:val="40BD0DA1"/>
    <w:rsid w:val="40C34442"/>
    <w:rsid w:val="40EC7D18"/>
    <w:rsid w:val="40ED11A0"/>
    <w:rsid w:val="40FD1BF0"/>
    <w:rsid w:val="41015E92"/>
    <w:rsid w:val="41096BC0"/>
    <w:rsid w:val="410A75B6"/>
    <w:rsid w:val="410B452A"/>
    <w:rsid w:val="41146D26"/>
    <w:rsid w:val="411B6EDC"/>
    <w:rsid w:val="413353F1"/>
    <w:rsid w:val="413F6B0A"/>
    <w:rsid w:val="414C0B0E"/>
    <w:rsid w:val="41513BC9"/>
    <w:rsid w:val="41735B7F"/>
    <w:rsid w:val="419302E2"/>
    <w:rsid w:val="419E558F"/>
    <w:rsid w:val="419E60D3"/>
    <w:rsid w:val="41A339F5"/>
    <w:rsid w:val="41A36C7E"/>
    <w:rsid w:val="41AA4A84"/>
    <w:rsid w:val="41AF06D0"/>
    <w:rsid w:val="41C45B38"/>
    <w:rsid w:val="41C93F6C"/>
    <w:rsid w:val="41D5139D"/>
    <w:rsid w:val="41D75714"/>
    <w:rsid w:val="41DD3BC3"/>
    <w:rsid w:val="41E535F4"/>
    <w:rsid w:val="41EE2F03"/>
    <w:rsid w:val="41F466FD"/>
    <w:rsid w:val="42002BC7"/>
    <w:rsid w:val="42026B03"/>
    <w:rsid w:val="420C60D5"/>
    <w:rsid w:val="420D197F"/>
    <w:rsid w:val="42130DE5"/>
    <w:rsid w:val="42167307"/>
    <w:rsid w:val="42187EBE"/>
    <w:rsid w:val="42201DD7"/>
    <w:rsid w:val="42240D3F"/>
    <w:rsid w:val="42273D8C"/>
    <w:rsid w:val="4227435A"/>
    <w:rsid w:val="422B05EA"/>
    <w:rsid w:val="423015C4"/>
    <w:rsid w:val="424154E1"/>
    <w:rsid w:val="42494A4D"/>
    <w:rsid w:val="424B5824"/>
    <w:rsid w:val="42616DD3"/>
    <w:rsid w:val="426973AD"/>
    <w:rsid w:val="426F56CA"/>
    <w:rsid w:val="42702D0D"/>
    <w:rsid w:val="427A67A1"/>
    <w:rsid w:val="427E0B36"/>
    <w:rsid w:val="429F2355"/>
    <w:rsid w:val="42A03D98"/>
    <w:rsid w:val="42A729F1"/>
    <w:rsid w:val="42B94BC1"/>
    <w:rsid w:val="42BE4DAE"/>
    <w:rsid w:val="42BF61B0"/>
    <w:rsid w:val="42C30254"/>
    <w:rsid w:val="42C42A08"/>
    <w:rsid w:val="42D064B1"/>
    <w:rsid w:val="42D41F6D"/>
    <w:rsid w:val="42DE48A3"/>
    <w:rsid w:val="42E16058"/>
    <w:rsid w:val="42F17BF5"/>
    <w:rsid w:val="42F87EC9"/>
    <w:rsid w:val="42FA45BF"/>
    <w:rsid w:val="430E7E66"/>
    <w:rsid w:val="431C44AA"/>
    <w:rsid w:val="43296963"/>
    <w:rsid w:val="4332317A"/>
    <w:rsid w:val="433246A0"/>
    <w:rsid w:val="43374973"/>
    <w:rsid w:val="433E7EE2"/>
    <w:rsid w:val="433F6B54"/>
    <w:rsid w:val="43424AD7"/>
    <w:rsid w:val="4346543A"/>
    <w:rsid w:val="435218BB"/>
    <w:rsid w:val="43533E29"/>
    <w:rsid w:val="43561E16"/>
    <w:rsid w:val="435B1259"/>
    <w:rsid w:val="436263D5"/>
    <w:rsid w:val="437556C4"/>
    <w:rsid w:val="43874CD4"/>
    <w:rsid w:val="439B699F"/>
    <w:rsid w:val="439D3E18"/>
    <w:rsid w:val="439F1200"/>
    <w:rsid w:val="43AE320F"/>
    <w:rsid w:val="43AF2D32"/>
    <w:rsid w:val="43B13512"/>
    <w:rsid w:val="43B76E4F"/>
    <w:rsid w:val="43CF0206"/>
    <w:rsid w:val="43D50BA1"/>
    <w:rsid w:val="43D85D6D"/>
    <w:rsid w:val="43EC6F1F"/>
    <w:rsid w:val="43FE44BA"/>
    <w:rsid w:val="43FE63A7"/>
    <w:rsid w:val="440656C2"/>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323D4"/>
    <w:rsid w:val="44957F46"/>
    <w:rsid w:val="44994CF5"/>
    <w:rsid w:val="44AF6578"/>
    <w:rsid w:val="44B463D5"/>
    <w:rsid w:val="44C17003"/>
    <w:rsid w:val="44C90753"/>
    <w:rsid w:val="44D649CF"/>
    <w:rsid w:val="44DC46EB"/>
    <w:rsid w:val="44EA6491"/>
    <w:rsid w:val="44F03F8F"/>
    <w:rsid w:val="44F14ECF"/>
    <w:rsid w:val="45042FB1"/>
    <w:rsid w:val="45162B93"/>
    <w:rsid w:val="45234E43"/>
    <w:rsid w:val="45275172"/>
    <w:rsid w:val="452F5B3A"/>
    <w:rsid w:val="45332511"/>
    <w:rsid w:val="45370B65"/>
    <w:rsid w:val="453F44DA"/>
    <w:rsid w:val="45412C46"/>
    <w:rsid w:val="454D3110"/>
    <w:rsid w:val="45514AD5"/>
    <w:rsid w:val="4552412E"/>
    <w:rsid w:val="45570907"/>
    <w:rsid w:val="455908C0"/>
    <w:rsid w:val="455933A5"/>
    <w:rsid w:val="45743BE6"/>
    <w:rsid w:val="4575513B"/>
    <w:rsid w:val="45761EDD"/>
    <w:rsid w:val="457A7286"/>
    <w:rsid w:val="457B06AA"/>
    <w:rsid w:val="457C7D39"/>
    <w:rsid w:val="458667C4"/>
    <w:rsid w:val="458F5163"/>
    <w:rsid w:val="45934E4A"/>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C5979"/>
    <w:rsid w:val="46110AB3"/>
    <w:rsid w:val="46143B66"/>
    <w:rsid w:val="4615371C"/>
    <w:rsid w:val="4621422D"/>
    <w:rsid w:val="46214325"/>
    <w:rsid w:val="463246EC"/>
    <w:rsid w:val="463425D3"/>
    <w:rsid w:val="463A3547"/>
    <w:rsid w:val="464B28C8"/>
    <w:rsid w:val="464E0973"/>
    <w:rsid w:val="46555DC3"/>
    <w:rsid w:val="46617DB2"/>
    <w:rsid w:val="46621065"/>
    <w:rsid w:val="46665198"/>
    <w:rsid w:val="46697236"/>
    <w:rsid w:val="466B4A21"/>
    <w:rsid w:val="46770F8B"/>
    <w:rsid w:val="467C16FA"/>
    <w:rsid w:val="46842633"/>
    <w:rsid w:val="46875964"/>
    <w:rsid w:val="46894B18"/>
    <w:rsid w:val="469448C6"/>
    <w:rsid w:val="46AB0067"/>
    <w:rsid w:val="46AD2069"/>
    <w:rsid w:val="46B80AF8"/>
    <w:rsid w:val="46D37F0B"/>
    <w:rsid w:val="46D6030E"/>
    <w:rsid w:val="46D71533"/>
    <w:rsid w:val="46E53335"/>
    <w:rsid w:val="46E544E3"/>
    <w:rsid w:val="46E87DBA"/>
    <w:rsid w:val="46EE15F6"/>
    <w:rsid w:val="46EE2CC7"/>
    <w:rsid w:val="46FA7468"/>
    <w:rsid w:val="470F7B86"/>
    <w:rsid w:val="47155D89"/>
    <w:rsid w:val="473069AF"/>
    <w:rsid w:val="47356ECD"/>
    <w:rsid w:val="474A0EAF"/>
    <w:rsid w:val="474E50BE"/>
    <w:rsid w:val="47523FA0"/>
    <w:rsid w:val="476700F2"/>
    <w:rsid w:val="47696F9C"/>
    <w:rsid w:val="47714F1F"/>
    <w:rsid w:val="47725A17"/>
    <w:rsid w:val="477D3243"/>
    <w:rsid w:val="478821A1"/>
    <w:rsid w:val="479128A9"/>
    <w:rsid w:val="47975EDC"/>
    <w:rsid w:val="47983B19"/>
    <w:rsid w:val="479E2C8A"/>
    <w:rsid w:val="47A3609D"/>
    <w:rsid w:val="47C01792"/>
    <w:rsid w:val="47C57A48"/>
    <w:rsid w:val="47D511BD"/>
    <w:rsid w:val="4808150F"/>
    <w:rsid w:val="480F51A8"/>
    <w:rsid w:val="481604F9"/>
    <w:rsid w:val="481A006F"/>
    <w:rsid w:val="48256B1B"/>
    <w:rsid w:val="48282713"/>
    <w:rsid w:val="482A6E62"/>
    <w:rsid w:val="4837323B"/>
    <w:rsid w:val="484417FA"/>
    <w:rsid w:val="48450ECE"/>
    <w:rsid w:val="484759CD"/>
    <w:rsid w:val="484B14EC"/>
    <w:rsid w:val="48602710"/>
    <w:rsid w:val="48713351"/>
    <w:rsid w:val="48725C43"/>
    <w:rsid w:val="48802846"/>
    <w:rsid w:val="488260F9"/>
    <w:rsid w:val="48850157"/>
    <w:rsid w:val="48A4573B"/>
    <w:rsid w:val="48A71C34"/>
    <w:rsid w:val="48A736CF"/>
    <w:rsid w:val="48B116EA"/>
    <w:rsid w:val="48B74C7A"/>
    <w:rsid w:val="48B95FE2"/>
    <w:rsid w:val="48BE32BF"/>
    <w:rsid w:val="48C354EC"/>
    <w:rsid w:val="48D429DD"/>
    <w:rsid w:val="48E01C77"/>
    <w:rsid w:val="48E22285"/>
    <w:rsid w:val="48E36C82"/>
    <w:rsid w:val="48E50D90"/>
    <w:rsid w:val="48EB0B49"/>
    <w:rsid w:val="48EB0D16"/>
    <w:rsid w:val="48FA15CC"/>
    <w:rsid w:val="48FF0DD1"/>
    <w:rsid w:val="490F071A"/>
    <w:rsid w:val="491911E2"/>
    <w:rsid w:val="491B63DF"/>
    <w:rsid w:val="491D63E9"/>
    <w:rsid w:val="49247EB1"/>
    <w:rsid w:val="4932285C"/>
    <w:rsid w:val="49331971"/>
    <w:rsid w:val="49384E02"/>
    <w:rsid w:val="493E2F78"/>
    <w:rsid w:val="493F3A9E"/>
    <w:rsid w:val="495217DF"/>
    <w:rsid w:val="49547ADD"/>
    <w:rsid w:val="4958367A"/>
    <w:rsid w:val="4960425F"/>
    <w:rsid w:val="4975228D"/>
    <w:rsid w:val="498A16CD"/>
    <w:rsid w:val="498A7FB5"/>
    <w:rsid w:val="499145D9"/>
    <w:rsid w:val="499828BA"/>
    <w:rsid w:val="49A33C27"/>
    <w:rsid w:val="49A750B5"/>
    <w:rsid w:val="49B93B41"/>
    <w:rsid w:val="49BA0A6B"/>
    <w:rsid w:val="49BE07DA"/>
    <w:rsid w:val="49C32414"/>
    <w:rsid w:val="49C84AA0"/>
    <w:rsid w:val="49CA7400"/>
    <w:rsid w:val="49D7694D"/>
    <w:rsid w:val="49D87799"/>
    <w:rsid w:val="49F400AC"/>
    <w:rsid w:val="49F9104E"/>
    <w:rsid w:val="4A0244D3"/>
    <w:rsid w:val="4A1B1D78"/>
    <w:rsid w:val="4A255046"/>
    <w:rsid w:val="4A2E1525"/>
    <w:rsid w:val="4A5A756D"/>
    <w:rsid w:val="4A722B4C"/>
    <w:rsid w:val="4A785772"/>
    <w:rsid w:val="4A7A7433"/>
    <w:rsid w:val="4A842E43"/>
    <w:rsid w:val="4A886D1D"/>
    <w:rsid w:val="4A89105B"/>
    <w:rsid w:val="4A955EEB"/>
    <w:rsid w:val="4AA341CC"/>
    <w:rsid w:val="4AC13295"/>
    <w:rsid w:val="4AC31003"/>
    <w:rsid w:val="4AC40F4C"/>
    <w:rsid w:val="4AD25F33"/>
    <w:rsid w:val="4AD763B8"/>
    <w:rsid w:val="4ADD641F"/>
    <w:rsid w:val="4AE072CB"/>
    <w:rsid w:val="4AE93159"/>
    <w:rsid w:val="4AED65F4"/>
    <w:rsid w:val="4AF02EA1"/>
    <w:rsid w:val="4B0428AF"/>
    <w:rsid w:val="4B174032"/>
    <w:rsid w:val="4B1B48EB"/>
    <w:rsid w:val="4B1D7328"/>
    <w:rsid w:val="4B250CF8"/>
    <w:rsid w:val="4B2873FD"/>
    <w:rsid w:val="4B3D4DE9"/>
    <w:rsid w:val="4B59618C"/>
    <w:rsid w:val="4B5B2C7E"/>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172533"/>
    <w:rsid w:val="4C1905D9"/>
    <w:rsid w:val="4C2910DF"/>
    <w:rsid w:val="4C2B4DDD"/>
    <w:rsid w:val="4C312198"/>
    <w:rsid w:val="4C336177"/>
    <w:rsid w:val="4C3B1A9E"/>
    <w:rsid w:val="4C471A55"/>
    <w:rsid w:val="4C562920"/>
    <w:rsid w:val="4C5D1F92"/>
    <w:rsid w:val="4C603F16"/>
    <w:rsid w:val="4C6262E0"/>
    <w:rsid w:val="4C6703A3"/>
    <w:rsid w:val="4C6D7518"/>
    <w:rsid w:val="4C8C1682"/>
    <w:rsid w:val="4C923A72"/>
    <w:rsid w:val="4CAB3057"/>
    <w:rsid w:val="4CB531CC"/>
    <w:rsid w:val="4CB80C32"/>
    <w:rsid w:val="4CB96B0F"/>
    <w:rsid w:val="4CBD582C"/>
    <w:rsid w:val="4CC21369"/>
    <w:rsid w:val="4CD1735E"/>
    <w:rsid w:val="4CE34E9F"/>
    <w:rsid w:val="4CF52D94"/>
    <w:rsid w:val="4D075911"/>
    <w:rsid w:val="4D0C6B0F"/>
    <w:rsid w:val="4D1216BD"/>
    <w:rsid w:val="4D231A3E"/>
    <w:rsid w:val="4D2822A5"/>
    <w:rsid w:val="4D3C254D"/>
    <w:rsid w:val="4D4001E4"/>
    <w:rsid w:val="4D462159"/>
    <w:rsid w:val="4D47409F"/>
    <w:rsid w:val="4D525BE3"/>
    <w:rsid w:val="4D566017"/>
    <w:rsid w:val="4D6022FC"/>
    <w:rsid w:val="4D6748C7"/>
    <w:rsid w:val="4D7D3EFB"/>
    <w:rsid w:val="4D883EF9"/>
    <w:rsid w:val="4D8B0123"/>
    <w:rsid w:val="4D907392"/>
    <w:rsid w:val="4D940DD6"/>
    <w:rsid w:val="4DAF14C5"/>
    <w:rsid w:val="4DB9067A"/>
    <w:rsid w:val="4DC605B6"/>
    <w:rsid w:val="4DD732D2"/>
    <w:rsid w:val="4DEC0985"/>
    <w:rsid w:val="4E000105"/>
    <w:rsid w:val="4E0538A3"/>
    <w:rsid w:val="4E0E6818"/>
    <w:rsid w:val="4E27683A"/>
    <w:rsid w:val="4E321D35"/>
    <w:rsid w:val="4E397241"/>
    <w:rsid w:val="4E3C1DE4"/>
    <w:rsid w:val="4E464E00"/>
    <w:rsid w:val="4E4B2E60"/>
    <w:rsid w:val="4E4C50A3"/>
    <w:rsid w:val="4E510698"/>
    <w:rsid w:val="4E576363"/>
    <w:rsid w:val="4E59789B"/>
    <w:rsid w:val="4E5D49B1"/>
    <w:rsid w:val="4E635567"/>
    <w:rsid w:val="4E674786"/>
    <w:rsid w:val="4E6D0F25"/>
    <w:rsid w:val="4E6F309C"/>
    <w:rsid w:val="4E710F05"/>
    <w:rsid w:val="4E742982"/>
    <w:rsid w:val="4E7F1E8F"/>
    <w:rsid w:val="4E862481"/>
    <w:rsid w:val="4E901714"/>
    <w:rsid w:val="4E93511F"/>
    <w:rsid w:val="4E9C0636"/>
    <w:rsid w:val="4E9D29FB"/>
    <w:rsid w:val="4EA30DB6"/>
    <w:rsid w:val="4EA7341F"/>
    <w:rsid w:val="4EB35A3D"/>
    <w:rsid w:val="4ECD2AFD"/>
    <w:rsid w:val="4EDB58B2"/>
    <w:rsid w:val="4EE925CE"/>
    <w:rsid w:val="4EEB1A94"/>
    <w:rsid w:val="4EEF2E30"/>
    <w:rsid w:val="4EF24828"/>
    <w:rsid w:val="4EFE7F59"/>
    <w:rsid w:val="4F0557AF"/>
    <w:rsid w:val="4F285975"/>
    <w:rsid w:val="4F2A7BF3"/>
    <w:rsid w:val="4F2E2624"/>
    <w:rsid w:val="4F4E1077"/>
    <w:rsid w:val="4F546156"/>
    <w:rsid w:val="4F64780B"/>
    <w:rsid w:val="4F844A99"/>
    <w:rsid w:val="4F94662C"/>
    <w:rsid w:val="4FAB774E"/>
    <w:rsid w:val="4FB00163"/>
    <w:rsid w:val="4FB208E7"/>
    <w:rsid w:val="4FE30332"/>
    <w:rsid w:val="4FE70BB4"/>
    <w:rsid w:val="4FE73C01"/>
    <w:rsid w:val="4FE76D51"/>
    <w:rsid w:val="4FE87C31"/>
    <w:rsid w:val="4FF03F98"/>
    <w:rsid w:val="4FF14DCF"/>
    <w:rsid w:val="50062EF6"/>
    <w:rsid w:val="5008113B"/>
    <w:rsid w:val="500815B6"/>
    <w:rsid w:val="500A7223"/>
    <w:rsid w:val="500B39BC"/>
    <w:rsid w:val="500C204A"/>
    <w:rsid w:val="501502DD"/>
    <w:rsid w:val="501A2172"/>
    <w:rsid w:val="502173F8"/>
    <w:rsid w:val="5022123F"/>
    <w:rsid w:val="502B7315"/>
    <w:rsid w:val="503E570B"/>
    <w:rsid w:val="503F32CF"/>
    <w:rsid w:val="503F62FD"/>
    <w:rsid w:val="5041152A"/>
    <w:rsid w:val="504A1A7A"/>
    <w:rsid w:val="504C77D2"/>
    <w:rsid w:val="50560460"/>
    <w:rsid w:val="50601A5C"/>
    <w:rsid w:val="507055F2"/>
    <w:rsid w:val="50733014"/>
    <w:rsid w:val="507E1B25"/>
    <w:rsid w:val="508E3B94"/>
    <w:rsid w:val="508E4492"/>
    <w:rsid w:val="5090223F"/>
    <w:rsid w:val="50924591"/>
    <w:rsid w:val="50A578DE"/>
    <w:rsid w:val="50A649F5"/>
    <w:rsid w:val="50AB5EB6"/>
    <w:rsid w:val="50AE6FE2"/>
    <w:rsid w:val="50B16618"/>
    <w:rsid w:val="50BB6306"/>
    <w:rsid w:val="50C12EDC"/>
    <w:rsid w:val="50CD2E4B"/>
    <w:rsid w:val="50DA0A9E"/>
    <w:rsid w:val="50ED21B8"/>
    <w:rsid w:val="50F31CB9"/>
    <w:rsid w:val="50F66F3D"/>
    <w:rsid w:val="50F8688B"/>
    <w:rsid w:val="50FC4E36"/>
    <w:rsid w:val="51002FFC"/>
    <w:rsid w:val="5105169B"/>
    <w:rsid w:val="51062881"/>
    <w:rsid w:val="510861B3"/>
    <w:rsid w:val="510956BD"/>
    <w:rsid w:val="5114696C"/>
    <w:rsid w:val="5121766A"/>
    <w:rsid w:val="51230220"/>
    <w:rsid w:val="513F6CC6"/>
    <w:rsid w:val="51471753"/>
    <w:rsid w:val="514E4912"/>
    <w:rsid w:val="515400FF"/>
    <w:rsid w:val="515441FE"/>
    <w:rsid w:val="515D735D"/>
    <w:rsid w:val="5161556E"/>
    <w:rsid w:val="51631E12"/>
    <w:rsid w:val="516A5418"/>
    <w:rsid w:val="516F4764"/>
    <w:rsid w:val="51781A83"/>
    <w:rsid w:val="51867298"/>
    <w:rsid w:val="51894D69"/>
    <w:rsid w:val="518D21E1"/>
    <w:rsid w:val="518E6224"/>
    <w:rsid w:val="51930297"/>
    <w:rsid w:val="51953936"/>
    <w:rsid w:val="519E116A"/>
    <w:rsid w:val="51A2793A"/>
    <w:rsid w:val="51B71820"/>
    <w:rsid w:val="51BA0CB7"/>
    <w:rsid w:val="51CA4619"/>
    <w:rsid w:val="51D129CA"/>
    <w:rsid w:val="51D75253"/>
    <w:rsid w:val="51D93F8A"/>
    <w:rsid w:val="51E5046A"/>
    <w:rsid w:val="51F6353C"/>
    <w:rsid w:val="520D7B42"/>
    <w:rsid w:val="52175F05"/>
    <w:rsid w:val="52272B85"/>
    <w:rsid w:val="52284E31"/>
    <w:rsid w:val="522A5519"/>
    <w:rsid w:val="523E09B5"/>
    <w:rsid w:val="524053B4"/>
    <w:rsid w:val="52431715"/>
    <w:rsid w:val="52687B2A"/>
    <w:rsid w:val="526E0E82"/>
    <w:rsid w:val="527901C6"/>
    <w:rsid w:val="528241AF"/>
    <w:rsid w:val="52831D64"/>
    <w:rsid w:val="528E082D"/>
    <w:rsid w:val="528F4A24"/>
    <w:rsid w:val="52944BB6"/>
    <w:rsid w:val="529C012B"/>
    <w:rsid w:val="52A24532"/>
    <w:rsid w:val="52A611A1"/>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5009E1"/>
    <w:rsid w:val="53650168"/>
    <w:rsid w:val="53665DA9"/>
    <w:rsid w:val="536C2A29"/>
    <w:rsid w:val="536E571F"/>
    <w:rsid w:val="538859E4"/>
    <w:rsid w:val="538E3092"/>
    <w:rsid w:val="53902F6B"/>
    <w:rsid w:val="539F394B"/>
    <w:rsid w:val="53A20FFA"/>
    <w:rsid w:val="53A233E4"/>
    <w:rsid w:val="53A63AE8"/>
    <w:rsid w:val="53A94C48"/>
    <w:rsid w:val="53AA7BC7"/>
    <w:rsid w:val="53AE5EA5"/>
    <w:rsid w:val="53B00B1F"/>
    <w:rsid w:val="53B2409D"/>
    <w:rsid w:val="53B31E73"/>
    <w:rsid w:val="53BF4252"/>
    <w:rsid w:val="53D5647F"/>
    <w:rsid w:val="53D6247A"/>
    <w:rsid w:val="53DB3477"/>
    <w:rsid w:val="53DE00FF"/>
    <w:rsid w:val="53E656AF"/>
    <w:rsid w:val="53E77CBF"/>
    <w:rsid w:val="53EE74DD"/>
    <w:rsid w:val="53FE7128"/>
    <w:rsid w:val="540C4118"/>
    <w:rsid w:val="54201800"/>
    <w:rsid w:val="54247F22"/>
    <w:rsid w:val="5427150F"/>
    <w:rsid w:val="542B1B24"/>
    <w:rsid w:val="542B76D0"/>
    <w:rsid w:val="542C29CD"/>
    <w:rsid w:val="542F1551"/>
    <w:rsid w:val="54381756"/>
    <w:rsid w:val="545750B7"/>
    <w:rsid w:val="545A1EBF"/>
    <w:rsid w:val="545E39AA"/>
    <w:rsid w:val="54602EAD"/>
    <w:rsid w:val="5460437B"/>
    <w:rsid w:val="54727478"/>
    <w:rsid w:val="54AE4798"/>
    <w:rsid w:val="54B06F11"/>
    <w:rsid w:val="54B56DF4"/>
    <w:rsid w:val="54B93943"/>
    <w:rsid w:val="54BE5578"/>
    <w:rsid w:val="54BF52B5"/>
    <w:rsid w:val="54D202CA"/>
    <w:rsid w:val="54D54E59"/>
    <w:rsid w:val="54DA27BC"/>
    <w:rsid w:val="54DD41DB"/>
    <w:rsid w:val="54ED3D78"/>
    <w:rsid w:val="54F52BA3"/>
    <w:rsid w:val="54F54E04"/>
    <w:rsid w:val="550B4121"/>
    <w:rsid w:val="550D5CFC"/>
    <w:rsid w:val="550F3357"/>
    <w:rsid w:val="55126CC5"/>
    <w:rsid w:val="55197997"/>
    <w:rsid w:val="551A4479"/>
    <w:rsid w:val="551B7F0A"/>
    <w:rsid w:val="552A6B56"/>
    <w:rsid w:val="55314F13"/>
    <w:rsid w:val="5532385A"/>
    <w:rsid w:val="55381D42"/>
    <w:rsid w:val="55401B14"/>
    <w:rsid w:val="554748F2"/>
    <w:rsid w:val="554D414C"/>
    <w:rsid w:val="554E7279"/>
    <w:rsid w:val="55594FFB"/>
    <w:rsid w:val="55637CEB"/>
    <w:rsid w:val="55677DDA"/>
    <w:rsid w:val="55757FB9"/>
    <w:rsid w:val="55884237"/>
    <w:rsid w:val="558B1E31"/>
    <w:rsid w:val="558C7FAA"/>
    <w:rsid w:val="55900510"/>
    <w:rsid w:val="55947881"/>
    <w:rsid w:val="55965196"/>
    <w:rsid w:val="55A25EB7"/>
    <w:rsid w:val="55A82784"/>
    <w:rsid w:val="55A97512"/>
    <w:rsid w:val="55B63FD5"/>
    <w:rsid w:val="55C35A76"/>
    <w:rsid w:val="55D40743"/>
    <w:rsid w:val="55DD6F2A"/>
    <w:rsid w:val="55E73480"/>
    <w:rsid w:val="55E8339E"/>
    <w:rsid w:val="55F06771"/>
    <w:rsid w:val="560C022B"/>
    <w:rsid w:val="560D5F48"/>
    <w:rsid w:val="56106284"/>
    <w:rsid w:val="56182852"/>
    <w:rsid w:val="5632642A"/>
    <w:rsid w:val="56375B61"/>
    <w:rsid w:val="564944F4"/>
    <w:rsid w:val="564E5820"/>
    <w:rsid w:val="565104C5"/>
    <w:rsid w:val="56573D54"/>
    <w:rsid w:val="56630C00"/>
    <w:rsid w:val="56721038"/>
    <w:rsid w:val="567739D2"/>
    <w:rsid w:val="56775A0A"/>
    <w:rsid w:val="5686536D"/>
    <w:rsid w:val="568B1DB1"/>
    <w:rsid w:val="56A55214"/>
    <w:rsid w:val="56A67978"/>
    <w:rsid w:val="56AC63C5"/>
    <w:rsid w:val="56C1700B"/>
    <w:rsid w:val="56C56513"/>
    <w:rsid w:val="56CF48FB"/>
    <w:rsid w:val="56D25618"/>
    <w:rsid w:val="56D5675C"/>
    <w:rsid w:val="56D7644B"/>
    <w:rsid w:val="56E373D5"/>
    <w:rsid w:val="56E81FA0"/>
    <w:rsid w:val="56E84A97"/>
    <w:rsid w:val="56F05010"/>
    <w:rsid w:val="56FB2A68"/>
    <w:rsid w:val="57011F3E"/>
    <w:rsid w:val="57050D7B"/>
    <w:rsid w:val="5705646B"/>
    <w:rsid w:val="57060649"/>
    <w:rsid w:val="572657E3"/>
    <w:rsid w:val="5732705F"/>
    <w:rsid w:val="57351D6F"/>
    <w:rsid w:val="573B7F99"/>
    <w:rsid w:val="576476C1"/>
    <w:rsid w:val="576E1940"/>
    <w:rsid w:val="57756BF9"/>
    <w:rsid w:val="57770501"/>
    <w:rsid w:val="577B3337"/>
    <w:rsid w:val="577D4F28"/>
    <w:rsid w:val="57A33734"/>
    <w:rsid w:val="57AB6ADD"/>
    <w:rsid w:val="57B7178E"/>
    <w:rsid w:val="57B76EED"/>
    <w:rsid w:val="57BD72A7"/>
    <w:rsid w:val="57BE5838"/>
    <w:rsid w:val="57BF764E"/>
    <w:rsid w:val="57CB35DF"/>
    <w:rsid w:val="57CB67BB"/>
    <w:rsid w:val="57D82354"/>
    <w:rsid w:val="57FC07D9"/>
    <w:rsid w:val="57FF6992"/>
    <w:rsid w:val="58036FF1"/>
    <w:rsid w:val="580F1B21"/>
    <w:rsid w:val="581B7E79"/>
    <w:rsid w:val="58420FA1"/>
    <w:rsid w:val="58500F22"/>
    <w:rsid w:val="58587379"/>
    <w:rsid w:val="585D72B5"/>
    <w:rsid w:val="586D57A3"/>
    <w:rsid w:val="587917A0"/>
    <w:rsid w:val="587A4288"/>
    <w:rsid w:val="5880052B"/>
    <w:rsid w:val="588E3967"/>
    <w:rsid w:val="58AD27D9"/>
    <w:rsid w:val="58B169A2"/>
    <w:rsid w:val="58B9636C"/>
    <w:rsid w:val="58C37133"/>
    <w:rsid w:val="58C93046"/>
    <w:rsid w:val="58D36BCB"/>
    <w:rsid w:val="58D8157C"/>
    <w:rsid w:val="58E11166"/>
    <w:rsid w:val="58E6349C"/>
    <w:rsid w:val="58E83DEC"/>
    <w:rsid w:val="58EF63EE"/>
    <w:rsid w:val="590317F0"/>
    <w:rsid w:val="59075000"/>
    <w:rsid w:val="593559FD"/>
    <w:rsid w:val="594079B2"/>
    <w:rsid w:val="595B45EE"/>
    <w:rsid w:val="596A688E"/>
    <w:rsid w:val="59860400"/>
    <w:rsid w:val="5987482A"/>
    <w:rsid w:val="598A58C2"/>
    <w:rsid w:val="598C6F19"/>
    <w:rsid w:val="599C49A8"/>
    <w:rsid w:val="59A252D5"/>
    <w:rsid w:val="59A36725"/>
    <w:rsid w:val="59AD4E2E"/>
    <w:rsid w:val="59B14918"/>
    <w:rsid w:val="59B21BF9"/>
    <w:rsid w:val="59B80C41"/>
    <w:rsid w:val="59BB4EA3"/>
    <w:rsid w:val="59E9525B"/>
    <w:rsid w:val="59F70BAF"/>
    <w:rsid w:val="5A0627A6"/>
    <w:rsid w:val="5A297D0D"/>
    <w:rsid w:val="5A3C0F08"/>
    <w:rsid w:val="5A3E5B83"/>
    <w:rsid w:val="5A50588C"/>
    <w:rsid w:val="5A5663A3"/>
    <w:rsid w:val="5A5706C7"/>
    <w:rsid w:val="5A571746"/>
    <w:rsid w:val="5A594793"/>
    <w:rsid w:val="5A5B6E89"/>
    <w:rsid w:val="5A6253E3"/>
    <w:rsid w:val="5A641DE9"/>
    <w:rsid w:val="5A8E6670"/>
    <w:rsid w:val="5A912613"/>
    <w:rsid w:val="5A9245E9"/>
    <w:rsid w:val="5A953D41"/>
    <w:rsid w:val="5AA75D85"/>
    <w:rsid w:val="5ABC50F4"/>
    <w:rsid w:val="5ACC4940"/>
    <w:rsid w:val="5ACD3CD2"/>
    <w:rsid w:val="5AD7333E"/>
    <w:rsid w:val="5AD86A6D"/>
    <w:rsid w:val="5AE8708E"/>
    <w:rsid w:val="5AEC14F6"/>
    <w:rsid w:val="5AF124A4"/>
    <w:rsid w:val="5B0A4D6B"/>
    <w:rsid w:val="5B141085"/>
    <w:rsid w:val="5B28192B"/>
    <w:rsid w:val="5B342BAD"/>
    <w:rsid w:val="5B392581"/>
    <w:rsid w:val="5B4007EF"/>
    <w:rsid w:val="5B4055CF"/>
    <w:rsid w:val="5B4D1F7C"/>
    <w:rsid w:val="5B51561D"/>
    <w:rsid w:val="5B570E24"/>
    <w:rsid w:val="5B607711"/>
    <w:rsid w:val="5B637E94"/>
    <w:rsid w:val="5B66707B"/>
    <w:rsid w:val="5B673066"/>
    <w:rsid w:val="5B6A48A8"/>
    <w:rsid w:val="5B731FA9"/>
    <w:rsid w:val="5B7400F5"/>
    <w:rsid w:val="5B785E83"/>
    <w:rsid w:val="5B7C1CD1"/>
    <w:rsid w:val="5B9004A9"/>
    <w:rsid w:val="5B907C6C"/>
    <w:rsid w:val="5B9251EF"/>
    <w:rsid w:val="5BAB5BC4"/>
    <w:rsid w:val="5BAC79AD"/>
    <w:rsid w:val="5BB20B74"/>
    <w:rsid w:val="5BB33170"/>
    <w:rsid w:val="5BC677D8"/>
    <w:rsid w:val="5BD0669E"/>
    <w:rsid w:val="5BE459DC"/>
    <w:rsid w:val="5BEB0120"/>
    <w:rsid w:val="5BEC175C"/>
    <w:rsid w:val="5BEF3E44"/>
    <w:rsid w:val="5BEF69FF"/>
    <w:rsid w:val="5C053E62"/>
    <w:rsid w:val="5C064BA0"/>
    <w:rsid w:val="5C07067E"/>
    <w:rsid w:val="5C075BB6"/>
    <w:rsid w:val="5C097C4E"/>
    <w:rsid w:val="5C0A0FD4"/>
    <w:rsid w:val="5C1A3A93"/>
    <w:rsid w:val="5C235386"/>
    <w:rsid w:val="5C2A4E9F"/>
    <w:rsid w:val="5C37782E"/>
    <w:rsid w:val="5C3B6CFC"/>
    <w:rsid w:val="5C4735D5"/>
    <w:rsid w:val="5C4C2CF4"/>
    <w:rsid w:val="5C6B1600"/>
    <w:rsid w:val="5C6E26BF"/>
    <w:rsid w:val="5C706511"/>
    <w:rsid w:val="5C7D70D1"/>
    <w:rsid w:val="5C837668"/>
    <w:rsid w:val="5C8542A8"/>
    <w:rsid w:val="5CA6294E"/>
    <w:rsid w:val="5CCC1DEC"/>
    <w:rsid w:val="5CDB3358"/>
    <w:rsid w:val="5CEB50A5"/>
    <w:rsid w:val="5CED4E0C"/>
    <w:rsid w:val="5CEE1DD1"/>
    <w:rsid w:val="5CFF09AB"/>
    <w:rsid w:val="5D034EE9"/>
    <w:rsid w:val="5D0366E8"/>
    <w:rsid w:val="5D08684C"/>
    <w:rsid w:val="5D0A06B6"/>
    <w:rsid w:val="5D1307E8"/>
    <w:rsid w:val="5D212A05"/>
    <w:rsid w:val="5D28584C"/>
    <w:rsid w:val="5D2F4802"/>
    <w:rsid w:val="5D32239D"/>
    <w:rsid w:val="5D3444E6"/>
    <w:rsid w:val="5D3543FB"/>
    <w:rsid w:val="5D3F0BDF"/>
    <w:rsid w:val="5D5B7098"/>
    <w:rsid w:val="5D5D62C9"/>
    <w:rsid w:val="5D611B66"/>
    <w:rsid w:val="5D634782"/>
    <w:rsid w:val="5D654194"/>
    <w:rsid w:val="5D6E1B86"/>
    <w:rsid w:val="5D725A84"/>
    <w:rsid w:val="5D746389"/>
    <w:rsid w:val="5D7706E8"/>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DF6E6E"/>
    <w:rsid w:val="5DEC05A1"/>
    <w:rsid w:val="5DEE0433"/>
    <w:rsid w:val="5DFD51DB"/>
    <w:rsid w:val="5E0B017F"/>
    <w:rsid w:val="5E0B0848"/>
    <w:rsid w:val="5E1D4A67"/>
    <w:rsid w:val="5E1F2E4C"/>
    <w:rsid w:val="5E237029"/>
    <w:rsid w:val="5E3358BB"/>
    <w:rsid w:val="5E3A3BD1"/>
    <w:rsid w:val="5E4E2212"/>
    <w:rsid w:val="5E4F1C2F"/>
    <w:rsid w:val="5E4F4B48"/>
    <w:rsid w:val="5E5203B8"/>
    <w:rsid w:val="5E53474B"/>
    <w:rsid w:val="5E5D2503"/>
    <w:rsid w:val="5E5D7D0E"/>
    <w:rsid w:val="5E6A5399"/>
    <w:rsid w:val="5E71373F"/>
    <w:rsid w:val="5E717191"/>
    <w:rsid w:val="5E7435D2"/>
    <w:rsid w:val="5E830708"/>
    <w:rsid w:val="5E831398"/>
    <w:rsid w:val="5E85633A"/>
    <w:rsid w:val="5E921A45"/>
    <w:rsid w:val="5E975993"/>
    <w:rsid w:val="5EA75DFF"/>
    <w:rsid w:val="5EB51FDE"/>
    <w:rsid w:val="5EBA4472"/>
    <w:rsid w:val="5EC3227D"/>
    <w:rsid w:val="5EC504C9"/>
    <w:rsid w:val="5EC93320"/>
    <w:rsid w:val="5ECA3D37"/>
    <w:rsid w:val="5EE153F8"/>
    <w:rsid w:val="5EE836CB"/>
    <w:rsid w:val="5EEA322F"/>
    <w:rsid w:val="5EED7893"/>
    <w:rsid w:val="5EF427A1"/>
    <w:rsid w:val="5EFA4C71"/>
    <w:rsid w:val="5EFB2125"/>
    <w:rsid w:val="5EFB6F0A"/>
    <w:rsid w:val="5F0A3A61"/>
    <w:rsid w:val="5F3370DF"/>
    <w:rsid w:val="5F576CD7"/>
    <w:rsid w:val="5F683B6E"/>
    <w:rsid w:val="5F684490"/>
    <w:rsid w:val="5F697EE8"/>
    <w:rsid w:val="5F6D06D6"/>
    <w:rsid w:val="5F6E768C"/>
    <w:rsid w:val="5F875C0C"/>
    <w:rsid w:val="5F8A0701"/>
    <w:rsid w:val="5F8F0B9E"/>
    <w:rsid w:val="5F8F267A"/>
    <w:rsid w:val="5F941274"/>
    <w:rsid w:val="5F9A540B"/>
    <w:rsid w:val="5FAB7F08"/>
    <w:rsid w:val="5FB7185B"/>
    <w:rsid w:val="5FB94C48"/>
    <w:rsid w:val="5FBE576C"/>
    <w:rsid w:val="5FD54B4E"/>
    <w:rsid w:val="5FDE327E"/>
    <w:rsid w:val="5FEB4E90"/>
    <w:rsid w:val="5FF37587"/>
    <w:rsid w:val="5FF85D1E"/>
    <w:rsid w:val="5FFE57B7"/>
    <w:rsid w:val="60060CD5"/>
    <w:rsid w:val="60085AA3"/>
    <w:rsid w:val="600E362B"/>
    <w:rsid w:val="60183392"/>
    <w:rsid w:val="601A4CB1"/>
    <w:rsid w:val="601B56CB"/>
    <w:rsid w:val="60237FFC"/>
    <w:rsid w:val="602C236D"/>
    <w:rsid w:val="603114E4"/>
    <w:rsid w:val="603967D7"/>
    <w:rsid w:val="603D3325"/>
    <w:rsid w:val="604040A8"/>
    <w:rsid w:val="60470CE3"/>
    <w:rsid w:val="60485D19"/>
    <w:rsid w:val="604D29BA"/>
    <w:rsid w:val="606711B4"/>
    <w:rsid w:val="60673C40"/>
    <w:rsid w:val="606A52D4"/>
    <w:rsid w:val="606C5678"/>
    <w:rsid w:val="607A0897"/>
    <w:rsid w:val="607C3753"/>
    <w:rsid w:val="607F6EAB"/>
    <w:rsid w:val="608D1D4E"/>
    <w:rsid w:val="60911FEF"/>
    <w:rsid w:val="6092569C"/>
    <w:rsid w:val="609D0F5A"/>
    <w:rsid w:val="60AD0357"/>
    <w:rsid w:val="60AE62DF"/>
    <w:rsid w:val="60B004BE"/>
    <w:rsid w:val="60B6381B"/>
    <w:rsid w:val="60BA604C"/>
    <w:rsid w:val="60C302BA"/>
    <w:rsid w:val="60C30855"/>
    <w:rsid w:val="60C338B1"/>
    <w:rsid w:val="60D4742F"/>
    <w:rsid w:val="60D67C80"/>
    <w:rsid w:val="60D95276"/>
    <w:rsid w:val="60E06DEB"/>
    <w:rsid w:val="60E51841"/>
    <w:rsid w:val="61110088"/>
    <w:rsid w:val="611647A0"/>
    <w:rsid w:val="61421EFD"/>
    <w:rsid w:val="614F6F7E"/>
    <w:rsid w:val="615700AE"/>
    <w:rsid w:val="615C5041"/>
    <w:rsid w:val="615F47C7"/>
    <w:rsid w:val="61640524"/>
    <w:rsid w:val="617A6EE7"/>
    <w:rsid w:val="617B616B"/>
    <w:rsid w:val="6182260C"/>
    <w:rsid w:val="6190565E"/>
    <w:rsid w:val="61A85F64"/>
    <w:rsid w:val="61AA2608"/>
    <w:rsid w:val="61AD68BC"/>
    <w:rsid w:val="61AE786E"/>
    <w:rsid w:val="61B173D2"/>
    <w:rsid w:val="61BC4BE1"/>
    <w:rsid w:val="61D43A2B"/>
    <w:rsid w:val="61E34474"/>
    <w:rsid w:val="61ED6D6A"/>
    <w:rsid w:val="61FF316E"/>
    <w:rsid w:val="62014BDB"/>
    <w:rsid w:val="621542CB"/>
    <w:rsid w:val="621C2930"/>
    <w:rsid w:val="622E3C9F"/>
    <w:rsid w:val="62347A18"/>
    <w:rsid w:val="624263A2"/>
    <w:rsid w:val="625272C3"/>
    <w:rsid w:val="62715337"/>
    <w:rsid w:val="6280204D"/>
    <w:rsid w:val="6290769B"/>
    <w:rsid w:val="62943D08"/>
    <w:rsid w:val="629718F1"/>
    <w:rsid w:val="62A05735"/>
    <w:rsid w:val="62A411F8"/>
    <w:rsid w:val="62A81A26"/>
    <w:rsid w:val="62B0109F"/>
    <w:rsid w:val="62BA7A46"/>
    <w:rsid w:val="62C376AC"/>
    <w:rsid w:val="62CE13CB"/>
    <w:rsid w:val="62D2197B"/>
    <w:rsid w:val="62DB028F"/>
    <w:rsid w:val="62EE4623"/>
    <w:rsid w:val="62F214BD"/>
    <w:rsid w:val="62F6011A"/>
    <w:rsid w:val="62FD2BA9"/>
    <w:rsid w:val="6327422B"/>
    <w:rsid w:val="6328597C"/>
    <w:rsid w:val="633B249F"/>
    <w:rsid w:val="633D1842"/>
    <w:rsid w:val="635123F0"/>
    <w:rsid w:val="63552D76"/>
    <w:rsid w:val="6359778B"/>
    <w:rsid w:val="635B63E3"/>
    <w:rsid w:val="63771D13"/>
    <w:rsid w:val="638C3395"/>
    <w:rsid w:val="63B37325"/>
    <w:rsid w:val="63B82D87"/>
    <w:rsid w:val="63BA3154"/>
    <w:rsid w:val="63CA2E8B"/>
    <w:rsid w:val="63CF097D"/>
    <w:rsid w:val="63D4153E"/>
    <w:rsid w:val="63DA0FA3"/>
    <w:rsid w:val="63DC7755"/>
    <w:rsid w:val="63E43D21"/>
    <w:rsid w:val="63E774B3"/>
    <w:rsid w:val="63F47D2A"/>
    <w:rsid w:val="63F6335E"/>
    <w:rsid w:val="63FE2D33"/>
    <w:rsid w:val="64046427"/>
    <w:rsid w:val="642369FC"/>
    <w:rsid w:val="64243E24"/>
    <w:rsid w:val="64254882"/>
    <w:rsid w:val="64264A79"/>
    <w:rsid w:val="642653DB"/>
    <w:rsid w:val="642A38B2"/>
    <w:rsid w:val="64304E58"/>
    <w:rsid w:val="64311867"/>
    <w:rsid w:val="64391ED3"/>
    <w:rsid w:val="6445632E"/>
    <w:rsid w:val="64566F9D"/>
    <w:rsid w:val="64596CB3"/>
    <w:rsid w:val="64742B63"/>
    <w:rsid w:val="647949B0"/>
    <w:rsid w:val="647E661E"/>
    <w:rsid w:val="648939AA"/>
    <w:rsid w:val="648C635C"/>
    <w:rsid w:val="649B1AC2"/>
    <w:rsid w:val="649B4C1C"/>
    <w:rsid w:val="64A7467B"/>
    <w:rsid w:val="64B53322"/>
    <w:rsid w:val="64C41B57"/>
    <w:rsid w:val="64C61AF8"/>
    <w:rsid w:val="64C86505"/>
    <w:rsid w:val="64E65F95"/>
    <w:rsid w:val="64EB5728"/>
    <w:rsid w:val="64FB4412"/>
    <w:rsid w:val="64FE700F"/>
    <w:rsid w:val="6500327F"/>
    <w:rsid w:val="6506609B"/>
    <w:rsid w:val="65083216"/>
    <w:rsid w:val="650A57D3"/>
    <w:rsid w:val="65460728"/>
    <w:rsid w:val="654835A8"/>
    <w:rsid w:val="65733E15"/>
    <w:rsid w:val="65822810"/>
    <w:rsid w:val="65870C45"/>
    <w:rsid w:val="659705FF"/>
    <w:rsid w:val="65AA6346"/>
    <w:rsid w:val="65B01B69"/>
    <w:rsid w:val="65B41784"/>
    <w:rsid w:val="65B56C47"/>
    <w:rsid w:val="65B7794D"/>
    <w:rsid w:val="65B8262E"/>
    <w:rsid w:val="65BC15EE"/>
    <w:rsid w:val="65D23D59"/>
    <w:rsid w:val="65D4773F"/>
    <w:rsid w:val="65DA5893"/>
    <w:rsid w:val="65DC5939"/>
    <w:rsid w:val="65DC7985"/>
    <w:rsid w:val="65F14641"/>
    <w:rsid w:val="65F5655C"/>
    <w:rsid w:val="65F64F18"/>
    <w:rsid w:val="65FF118E"/>
    <w:rsid w:val="660014C1"/>
    <w:rsid w:val="66052F43"/>
    <w:rsid w:val="66065483"/>
    <w:rsid w:val="6609487E"/>
    <w:rsid w:val="661D25CE"/>
    <w:rsid w:val="66206CF2"/>
    <w:rsid w:val="66265846"/>
    <w:rsid w:val="66287C9C"/>
    <w:rsid w:val="662E4097"/>
    <w:rsid w:val="664804AF"/>
    <w:rsid w:val="664805B8"/>
    <w:rsid w:val="665572E9"/>
    <w:rsid w:val="665B14BD"/>
    <w:rsid w:val="665B55EA"/>
    <w:rsid w:val="66641D58"/>
    <w:rsid w:val="66655F85"/>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70C6D27"/>
    <w:rsid w:val="670D67CE"/>
    <w:rsid w:val="67105BAB"/>
    <w:rsid w:val="671B1631"/>
    <w:rsid w:val="672C45D9"/>
    <w:rsid w:val="67302DC3"/>
    <w:rsid w:val="67316C6B"/>
    <w:rsid w:val="6734198F"/>
    <w:rsid w:val="674318B2"/>
    <w:rsid w:val="674D4B22"/>
    <w:rsid w:val="67570422"/>
    <w:rsid w:val="675D31B4"/>
    <w:rsid w:val="67611575"/>
    <w:rsid w:val="676D2F4B"/>
    <w:rsid w:val="677A266A"/>
    <w:rsid w:val="677C1A81"/>
    <w:rsid w:val="677E7198"/>
    <w:rsid w:val="678A426A"/>
    <w:rsid w:val="67914BE1"/>
    <w:rsid w:val="679305CA"/>
    <w:rsid w:val="679348FA"/>
    <w:rsid w:val="67A01F16"/>
    <w:rsid w:val="67A2026E"/>
    <w:rsid w:val="67AD0902"/>
    <w:rsid w:val="67B11DB8"/>
    <w:rsid w:val="67B163D1"/>
    <w:rsid w:val="67B21931"/>
    <w:rsid w:val="67DE0B68"/>
    <w:rsid w:val="67F45538"/>
    <w:rsid w:val="67F67092"/>
    <w:rsid w:val="68005932"/>
    <w:rsid w:val="680239EB"/>
    <w:rsid w:val="680722DA"/>
    <w:rsid w:val="68075891"/>
    <w:rsid w:val="68096B99"/>
    <w:rsid w:val="681C6C95"/>
    <w:rsid w:val="682211D1"/>
    <w:rsid w:val="68445430"/>
    <w:rsid w:val="685B0620"/>
    <w:rsid w:val="685C6395"/>
    <w:rsid w:val="686318DD"/>
    <w:rsid w:val="68635145"/>
    <w:rsid w:val="686D19A4"/>
    <w:rsid w:val="687914A4"/>
    <w:rsid w:val="687C0479"/>
    <w:rsid w:val="687F607E"/>
    <w:rsid w:val="6887281F"/>
    <w:rsid w:val="688B4E92"/>
    <w:rsid w:val="689565AD"/>
    <w:rsid w:val="689A41FB"/>
    <w:rsid w:val="689E57F0"/>
    <w:rsid w:val="68A34C5C"/>
    <w:rsid w:val="68A80F8D"/>
    <w:rsid w:val="68CA6EAF"/>
    <w:rsid w:val="68D507C6"/>
    <w:rsid w:val="68E24981"/>
    <w:rsid w:val="68E62C62"/>
    <w:rsid w:val="68ED60A5"/>
    <w:rsid w:val="68F5692F"/>
    <w:rsid w:val="69123F86"/>
    <w:rsid w:val="691B5F89"/>
    <w:rsid w:val="691C1D81"/>
    <w:rsid w:val="691C3525"/>
    <w:rsid w:val="691C4B46"/>
    <w:rsid w:val="69216128"/>
    <w:rsid w:val="6922313D"/>
    <w:rsid w:val="69250799"/>
    <w:rsid w:val="69280874"/>
    <w:rsid w:val="692E74C3"/>
    <w:rsid w:val="69307671"/>
    <w:rsid w:val="695D6B21"/>
    <w:rsid w:val="69611EE7"/>
    <w:rsid w:val="69621F5B"/>
    <w:rsid w:val="696C708E"/>
    <w:rsid w:val="696F4D5D"/>
    <w:rsid w:val="69850877"/>
    <w:rsid w:val="698C13C5"/>
    <w:rsid w:val="69EB1E1E"/>
    <w:rsid w:val="69F0745A"/>
    <w:rsid w:val="6A0D20F2"/>
    <w:rsid w:val="6A1757B7"/>
    <w:rsid w:val="6A1A2066"/>
    <w:rsid w:val="6A1D59EC"/>
    <w:rsid w:val="6A247F72"/>
    <w:rsid w:val="6A2E5EF8"/>
    <w:rsid w:val="6A3E2393"/>
    <w:rsid w:val="6A435B92"/>
    <w:rsid w:val="6A444DB8"/>
    <w:rsid w:val="6A471880"/>
    <w:rsid w:val="6A4C28F4"/>
    <w:rsid w:val="6A4D4828"/>
    <w:rsid w:val="6A516AC3"/>
    <w:rsid w:val="6A5303BA"/>
    <w:rsid w:val="6A5B28ED"/>
    <w:rsid w:val="6A677080"/>
    <w:rsid w:val="6A711183"/>
    <w:rsid w:val="6A720BCF"/>
    <w:rsid w:val="6A7B4B9C"/>
    <w:rsid w:val="6AAE7116"/>
    <w:rsid w:val="6AAF014C"/>
    <w:rsid w:val="6ABD60AB"/>
    <w:rsid w:val="6AC07690"/>
    <w:rsid w:val="6ACB082B"/>
    <w:rsid w:val="6AD3247E"/>
    <w:rsid w:val="6AE4699C"/>
    <w:rsid w:val="6AED1BE8"/>
    <w:rsid w:val="6AF00853"/>
    <w:rsid w:val="6AF317C6"/>
    <w:rsid w:val="6B004C6B"/>
    <w:rsid w:val="6B09696B"/>
    <w:rsid w:val="6B2B0EFD"/>
    <w:rsid w:val="6B2C13E4"/>
    <w:rsid w:val="6B2D2EEB"/>
    <w:rsid w:val="6B322952"/>
    <w:rsid w:val="6B3466A6"/>
    <w:rsid w:val="6B410613"/>
    <w:rsid w:val="6B493E2C"/>
    <w:rsid w:val="6B4B0A4C"/>
    <w:rsid w:val="6B4B36C9"/>
    <w:rsid w:val="6B4E75E6"/>
    <w:rsid w:val="6B50310B"/>
    <w:rsid w:val="6B5045E2"/>
    <w:rsid w:val="6B5B3B9E"/>
    <w:rsid w:val="6B5C4553"/>
    <w:rsid w:val="6B692897"/>
    <w:rsid w:val="6B695848"/>
    <w:rsid w:val="6B6A1A57"/>
    <w:rsid w:val="6B6D1317"/>
    <w:rsid w:val="6B730045"/>
    <w:rsid w:val="6B736A2E"/>
    <w:rsid w:val="6B762264"/>
    <w:rsid w:val="6B7964E9"/>
    <w:rsid w:val="6B860468"/>
    <w:rsid w:val="6B874340"/>
    <w:rsid w:val="6B884219"/>
    <w:rsid w:val="6B90781F"/>
    <w:rsid w:val="6BA6663C"/>
    <w:rsid w:val="6BA9194F"/>
    <w:rsid w:val="6BB07973"/>
    <w:rsid w:val="6BCA7437"/>
    <w:rsid w:val="6BE727F5"/>
    <w:rsid w:val="6C001608"/>
    <w:rsid w:val="6C08064C"/>
    <w:rsid w:val="6C0858B3"/>
    <w:rsid w:val="6C132D21"/>
    <w:rsid w:val="6C240DF3"/>
    <w:rsid w:val="6C45610F"/>
    <w:rsid w:val="6C59472D"/>
    <w:rsid w:val="6C5A4564"/>
    <w:rsid w:val="6C603744"/>
    <w:rsid w:val="6C635845"/>
    <w:rsid w:val="6C637CCF"/>
    <w:rsid w:val="6C6B4F91"/>
    <w:rsid w:val="6C7802EB"/>
    <w:rsid w:val="6C89456C"/>
    <w:rsid w:val="6C9143CB"/>
    <w:rsid w:val="6CA20D5B"/>
    <w:rsid w:val="6CA75F1D"/>
    <w:rsid w:val="6CAF7564"/>
    <w:rsid w:val="6CB71894"/>
    <w:rsid w:val="6CB91201"/>
    <w:rsid w:val="6CC13ACE"/>
    <w:rsid w:val="6CD63FB3"/>
    <w:rsid w:val="6CD73CDB"/>
    <w:rsid w:val="6CD91323"/>
    <w:rsid w:val="6CFE035F"/>
    <w:rsid w:val="6D056EA6"/>
    <w:rsid w:val="6D1766A9"/>
    <w:rsid w:val="6D19067C"/>
    <w:rsid w:val="6D1F423E"/>
    <w:rsid w:val="6D221E52"/>
    <w:rsid w:val="6D227835"/>
    <w:rsid w:val="6D231354"/>
    <w:rsid w:val="6D2834C8"/>
    <w:rsid w:val="6D2F1F0B"/>
    <w:rsid w:val="6D364C61"/>
    <w:rsid w:val="6D3C6626"/>
    <w:rsid w:val="6D5D0DB5"/>
    <w:rsid w:val="6D6855B1"/>
    <w:rsid w:val="6D6C5D15"/>
    <w:rsid w:val="6D7B4AB7"/>
    <w:rsid w:val="6D836C02"/>
    <w:rsid w:val="6D89784B"/>
    <w:rsid w:val="6D8C7F73"/>
    <w:rsid w:val="6D9057BE"/>
    <w:rsid w:val="6D9E0566"/>
    <w:rsid w:val="6DBE7F27"/>
    <w:rsid w:val="6DC262E7"/>
    <w:rsid w:val="6DD70DD8"/>
    <w:rsid w:val="6DED1766"/>
    <w:rsid w:val="6DF43BD4"/>
    <w:rsid w:val="6E0E1FAB"/>
    <w:rsid w:val="6E2143FB"/>
    <w:rsid w:val="6E295363"/>
    <w:rsid w:val="6E317378"/>
    <w:rsid w:val="6E3A4724"/>
    <w:rsid w:val="6E3E5591"/>
    <w:rsid w:val="6E4215C6"/>
    <w:rsid w:val="6E4B0158"/>
    <w:rsid w:val="6E4D611F"/>
    <w:rsid w:val="6E567C9E"/>
    <w:rsid w:val="6E635028"/>
    <w:rsid w:val="6E636A71"/>
    <w:rsid w:val="6E68362E"/>
    <w:rsid w:val="6E685B0A"/>
    <w:rsid w:val="6E687486"/>
    <w:rsid w:val="6E73404A"/>
    <w:rsid w:val="6E7355AA"/>
    <w:rsid w:val="6E7D300B"/>
    <w:rsid w:val="6E823708"/>
    <w:rsid w:val="6E854A2B"/>
    <w:rsid w:val="6E8A3EFB"/>
    <w:rsid w:val="6E920B5B"/>
    <w:rsid w:val="6E990B16"/>
    <w:rsid w:val="6E995AB6"/>
    <w:rsid w:val="6EA80CC5"/>
    <w:rsid w:val="6EB169D3"/>
    <w:rsid w:val="6EB21539"/>
    <w:rsid w:val="6EB829B1"/>
    <w:rsid w:val="6EB978A9"/>
    <w:rsid w:val="6ECC3A24"/>
    <w:rsid w:val="6ED86D3E"/>
    <w:rsid w:val="6EE9744F"/>
    <w:rsid w:val="6EEC3F7C"/>
    <w:rsid w:val="6EF3602C"/>
    <w:rsid w:val="6EFE1485"/>
    <w:rsid w:val="6F0247B3"/>
    <w:rsid w:val="6F031F8E"/>
    <w:rsid w:val="6F09008D"/>
    <w:rsid w:val="6F0D382C"/>
    <w:rsid w:val="6F2632E8"/>
    <w:rsid w:val="6F30363A"/>
    <w:rsid w:val="6F3316E5"/>
    <w:rsid w:val="6F3F40F9"/>
    <w:rsid w:val="6F424B2F"/>
    <w:rsid w:val="6F5E0205"/>
    <w:rsid w:val="6F632569"/>
    <w:rsid w:val="6F635E50"/>
    <w:rsid w:val="6F6F14E1"/>
    <w:rsid w:val="6F76254B"/>
    <w:rsid w:val="6F7C40AC"/>
    <w:rsid w:val="6F8040F4"/>
    <w:rsid w:val="6F877B03"/>
    <w:rsid w:val="6F905BB3"/>
    <w:rsid w:val="6F9A3007"/>
    <w:rsid w:val="6FA629D4"/>
    <w:rsid w:val="6FA75ADB"/>
    <w:rsid w:val="6FB77ED4"/>
    <w:rsid w:val="6FBD3BBF"/>
    <w:rsid w:val="6FBD4D2F"/>
    <w:rsid w:val="6FBF4710"/>
    <w:rsid w:val="6FC9109F"/>
    <w:rsid w:val="6FDB518F"/>
    <w:rsid w:val="6FE529ED"/>
    <w:rsid w:val="6FF733A7"/>
    <w:rsid w:val="70003DD9"/>
    <w:rsid w:val="70072915"/>
    <w:rsid w:val="70172090"/>
    <w:rsid w:val="70195E88"/>
    <w:rsid w:val="701D43BA"/>
    <w:rsid w:val="702B6F43"/>
    <w:rsid w:val="7032079E"/>
    <w:rsid w:val="703C186A"/>
    <w:rsid w:val="704C34F0"/>
    <w:rsid w:val="70570007"/>
    <w:rsid w:val="705843B4"/>
    <w:rsid w:val="7058635C"/>
    <w:rsid w:val="70611FB0"/>
    <w:rsid w:val="70655A58"/>
    <w:rsid w:val="706A37E5"/>
    <w:rsid w:val="70822BAD"/>
    <w:rsid w:val="708746BC"/>
    <w:rsid w:val="708A15C0"/>
    <w:rsid w:val="708F7F54"/>
    <w:rsid w:val="7096180D"/>
    <w:rsid w:val="709E3D85"/>
    <w:rsid w:val="70A36A35"/>
    <w:rsid w:val="70A708B1"/>
    <w:rsid w:val="70A97192"/>
    <w:rsid w:val="70AC660B"/>
    <w:rsid w:val="70B17138"/>
    <w:rsid w:val="70BB2EF0"/>
    <w:rsid w:val="70BC2801"/>
    <w:rsid w:val="70C6646C"/>
    <w:rsid w:val="70D82DC7"/>
    <w:rsid w:val="70DC0114"/>
    <w:rsid w:val="70E4685D"/>
    <w:rsid w:val="70FC2D1E"/>
    <w:rsid w:val="71014479"/>
    <w:rsid w:val="71015D6B"/>
    <w:rsid w:val="71067D7F"/>
    <w:rsid w:val="71115386"/>
    <w:rsid w:val="71126908"/>
    <w:rsid w:val="71151975"/>
    <w:rsid w:val="711D1189"/>
    <w:rsid w:val="712A2C1F"/>
    <w:rsid w:val="712A5215"/>
    <w:rsid w:val="712F2B3D"/>
    <w:rsid w:val="71336A65"/>
    <w:rsid w:val="713A6008"/>
    <w:rsid w:val="7144725F"/>
    <w:rsid w:val="7148395C"/>
    <w:rsid w:val="714B215B"/>
    <w:rsid w:val="714E2D72"/>
    <w:rsid w:val="71545B37"/>
    <w:rsid w:val="71570E43"/>
    <w:rsid w:val="71573E01"/>
    <w:rsid w:val="716F00B2"/>
    <w:rsid w:val="71702748"/>
    <w:rsid w:val="71867894"/>
    <w:rsid w:val="71920F6D"/>
    <w:rsid w:val="7192249B"/>
    <w:rsid w:val="719E0160"/>
    <w:rsid w:val="719F7A78"/>
    <w:rsid w:val="71A03079"/>
    <w:rsid w:val="71AD22C0"/>
    <w:rsid w:val="71B623F6"/>
    <w:rsid w:val="71B84778"/>
    <w:rsid w:val="71C7540C"/>
    <w:rsid w:val="71E857A5"/>
    <w:rsid w:val="71F64A63"/>
    <w:rsid w:val="71F870B8"/>
    <w:rsid w:val="72021233"/>
    <w:rsid w:val="720B2A1D"/>
    <w:rsid w:val="72197AB8"/>
    <w:rsid w:val="72502F9F"/>
    <w:rsid w:val="7251515C"/>
    <w:rsid w:val="725817D3"/>
    <w:rsid w:val="726C2A5B"/>
    <w:rsid w:val="726E6AD4"/>
    <w:rsid w:val="727C422C"/>
    <w:rsid w:val="7288329F"/>
    <w:rsid w:val="728D72D4"/>
    <w:rsid w:val="728E71EE"/>
    <w:rsid w:val="7292045A"/>
    <w:rsid w:val="72974DBE"/>
    <w:rsid w:val="72983FF8"/>
    <w:rsid w:val="72985E1E"/>
    <w:rsid w:val="72A20C20"/>
    <w:rsid w:val="72AC5E95"/>
    <w:rsid w:val="72BF43E3"/>
    <w:rsid w:val="72C13ED7"/>
    <w:rsid w:val="72CF1AC7"/>
    <w:rsid w:val="72D51F74"/>
    <w:rsid w:val="72DC0F93"/>
    <w:rsid w:val="72DD2607"/>
    <w:rsid w:val="72E42AFA"/>
    <w:rsid w:val="72E85578"/>
    <w:rsid w:val="72EB4466"/>
    <w:rsid w:val="72FD426E"/>
    <w:rsid w:val="73043CFC"/>
    <w:rsid w:val="7317244F"/>
    <w:rsid w:val="73296EE6"/>
    <w:rsid w:val="732B736C"/>
    <w:rsid w:val="732C334F"/>
    <w:rsid w:val="733501BF"/>
    <w:rsid w:val="734F0C79"/>
    <w:rsid w:val="734F4185"/>
    <w:rsid w:val="73520620"/>
    <w:rsid w:val="73536078"/>
    <w:rsid w:val="7363274A"/>
    <w:rsid w:val="73691A4A"/>
    <w:rsid w:val="7371152B"/>
    <w:rsid w:val="73777B4D"/>
    <w:rsid w:val="738A6895"/>
    <w:rsid w:val="738D1AFA"/>
    <w:rsid w:val="73917325"/>
    <w:rsid w:val="7395427D"/>
    <w:rsid w:val="73A15581"/>
    <w:rsid w:val="73AE5485"/>
    <w:rsid w:val="73B1087F"/>
    <w:rsid w:val="73BC7089"/>
    <w:rsid w:val="73BE7067"/>
    <w:rsid w:val="73DF080B"/>
    <w:rsid w:val="73E406FD"/>
    <w:rsid w:val="73E52294"/>
    <w:rsid w:val="73EC5464"/>
    <w:rsid w:val="73FF2D64"/>
    <w:rsid w:val="74137154"/>
    <w:rsid w:val="741819AA"/>
    <w:rsid w:val="741D325E"/>
    <w:rsid w:val="7421310D"/>
    <w:rsid w:val="74257F79"/>
    <w:rsid w:val="74273820"/>
    <w:rsid w:val="7427471C"/>
    <w:rsid w:val="74281B3F"/>
    <w:rsid w:val="742D7CD7"/>
    <w:rsid w:val="74310120"/>
    <w:rsid w:val="74355B0B"/>
    <w:rsid w:val="743C33B0"/>
    <w:rsid w:val="743C7157"/>
    <w:rsid w:val="743C71DA"/>
    <w:rsid w:val="74416F54"/>
    <w:rsid w:val="744B354F"/>
    <w:rsid w:val="7450294E"/>
    <w:rsid w:val="74543139"/>
    <w:rsid w:val="745B0E06"/>
    <w:rsid w:val="74630832"/>
    <w:rsid w:val="74672BF8"/>
    <w:rsid w:val="746B732F"/>
    <w:rsid w:val="746E18CB"/>
    <w:rsid w:val="746F3904"/>
    <w:rsid w:val="748D52FA"/>
    <w:rsid w:val="74993216"/>
    <w:rsid w:val="74A25132"/>
    <w:rsid w:val="74B44784"/>
    <w:rsid w:val="74B808BF"/>
    <w:rsid w:val="74C03187"/>
    <w:rsid w:val="74E427B4"/>
    <w:rsid w:val="74E4756E"/>
    <w:rsid w:val="74ED19FF"/>
    <w:rsid w:val="75014A45"/>
    <w:rsid w:val="75084E8F"/>
    <w:rsid w:val="7509261E"/>
    <w:rsid w:val="75202656"/>
    <w:rsid w:val="752231CE"/>
    <w:rsid w:val="753F3D3B"/>
    <w:rsid w:val="754723D0"/>
    <w:rsid w:val="75482D09"/>
    <w:rsid w:val="75633812"/>
    <w:rsid w:val="756F29D2"/>
    <w:rsid w:val="75752B04"/>
    <w:rsid w:val="758849E0"/>
    <w:rsid w:val="758910BB"/>
    <w:rsid w:val="75920C70"/>
    <w:rsid w:val="75955DA9"/>
    <w:rsid w:val="759601E2"/>
    <w:rsid w:val="75977910"/>
    <w:rsid w:val="759F2A35"/>
    <w:rsid w:val="75AD4ED0"/>
    <w:rsid w:val="75B15C41"/>
    <w:rsid w:val="75CC5191"/>
    <w:rsid w:val="75CC694A"/>
    <w:rsid w:val="75D12923"/>
    <w:rsid w:val="75D173F4"/>
    <w:rsid w:val="75EA364B"/>
    <w:rsid w:val="75F20996"/>
    <w:rsid w:val="75F65644"/>
    <w:rsid w:val="75F96973"/>
    <w:rsid w:val="760A4340"/>
    <w:rsid w:val="760B1CDE"/>
    <w:rsid w:val="76123E1D"/>
    <w:rsid w:val="761270F3"/>
    <w:rsid w:val="761724E5"/>
    <w:rsid w:val="762545DB"/>
    <w:rsid w:val="762A17C0"/>
    <w:rsid w:val="762B7A6C"/>
    <w:rsid w:val="762E6798"/>
    <w:rsid w:val="76425118"/>
    <w:rsid w:val="764838B9"/>
    <w:rsid w:val="764B15DA"/>
    <w:rsid w:val="764C09B4"/>
    <w:rsid w:val="764F5A52"/>
    <w:rsid w:val="76521C57"/>
    <w:rsid w:val="766163C1"/>
    <w:rsid w:val="76665926"/>
    <w:rsid w:val="766A4A0D"/>
    <w:rsid w:val="768C454B"/>
    <w:rsid w:val="7692667A"/>
    <w:rsid w:val="76982273"/>
    <w:rsid w:val="769A7352"/>
    <w:rsid w:val="769C4619"/>
    <w:rsid w:val="769E04D5"/>
    <w:rsid w:val="76A177B8"/>
    <w:rsid w:val="76AD2761"/>
    <w:rsid w:val="76B64E53"/>
    <w:rsid w:val="76B8001A"/>
    <w:rsid w:val="76B81599"/>
    <w:rsid w:val="76B97D11"/>
    <w:rsid w:val="76BB2F21"/>
    <w:rsid w:val="76BC314A"/>
    <w:rsid w:val="76C12918"/>
    <w:rsid w:val="76CC16BA"/>
    <w:rsid w:val="76CF29D3"/>
    <w:rsid w:val="76E45345"/>
    <w:rsid w:val="76E91124"/>
    <w:rsid w:val="76EB0D11"/>
    <w:rsid w:val="76EC51FD"/>
    <w:rsid w:val="76EE2C2B"/>
    <w:rsid w:val="76F410B8"/>
    <w:rsid w:val="76F70779"/>
    <w:rsid w:val="77001F24"/>
    <w:rsid w:val="770A6C33"/>
    <w:rsid w:val="771A04D1"/>
    <w:rsid w:val="771B67DF"/>
    <w:rsid w:val="771E64D7"/>
    <w:rsid w:val="77240552"/>
    <w:rsid w:val="77272CAB"/>
    <w:rsid w:val="772B4341"/>
    <w:rsid w:val="77451578"/>
    <w:rsid w:val="774963F2"/>
    <w:rsid w:val="77576666"/>
    <w:rsid w:val="77636E18"/>
    <w:rsid w:val="776564EF"/>
    <w:rsid w:val="776709A1"/>
    <w:rsid w:val="77674898"/>
    <w:rsid w:val="77692EA3"/>
    <w:rsid w:val="77695538"/>
    <w:rsid w:val="7773758E"/>
    <w:rsid w:val="77825248"/>
    <w:rsid w:val="778422E6"/>
    <w:rsid w:val="7785098B"/>
    <w:rsid w:val="77870D91"/>
    <w:rsid w:val="778A3229"/>
    <w:rsid w:val="779258CC"/>
    <w:rsid w:val="7794068F"/>
    <w:rsid w:val="779A012A"/>
    <w:rsid w:val="779A096B"/>
    <w:rsid w:val="779B52FF"/>
    <w:rsid w:val="779C011D"/>
    <w:rsid w:val="77A00E75"/>
    <w:rsid w:val="77A80D17"/>
    <w:rsid w:val="77B841F3"/>
    <w:rsid w:val="77C078B1"/>
    <w:rsid w:val="77CE7C36"/>
    <w:rsid w:val="77E4035B"/>
    <w:rsid w:val="77E66E3C"/>
    <w:rsid w:val="77E84D6F"/>
    <w:rsid w:val="77EB36D4"/>
    <w:rsid w:val="77F3789A"/>
    <w:rsid w:val="77F71324"/>
    <w:rsid w:val="78005A86"/>
    <w:rsid w:val="78011BF1"/>
    <w:rsid w:val="780326B9"/>
    <w:rsid w:val="780332E5"/>
    <w:rsid w:val="7804698A"/>
    <w:rsid w:val="783225C1"/>
    <w:rsid w:val="7833711D"/>
    <w:rsid w:val="7834483F"/>
    <w:rsid w:val="78460D63"/>
    <w:rsid w:val="78497C2E"/>
    <w:rsid w:val="78502D35"/>
    <w:rsid w:val="7854087B"/>
    <w:rsid w:val="786A4053"/>
    <w:rsid w:val="78717849"/>
    <w:rsid w:val="78782A0D"/>
    <w:rsid w:val="78785A2F"/>
    <w:rsid w:val="787B5060"/>
    <w:rsid w:val="788720E7"/>
    <w:rsid w:val="78A90B04"/>
    <w:rsid w:val="78AC70C6"/>
    <w:rsid w:val="78B0552C"/>
    <w:rsid w:val="78C53485"/>
    <w:rsid w:val="78C6693F"/>
    <w:rsid w:val="78C76A01"/>
    <w:rsid w:val="78C9386A"/>
    <w:rsid w:val="78DA30DC"/>
    <w:rsid w:val="78EB5FB1"/>
    <w:rsid w:val="78EC45D8"/>
    <w:rsid w:val="78EC6DF0"/>
    <w:rsid w:val="78F02AF8"/>
    <w:rsid w:val="78F5335B"/>
    <w:rsid w:val="78F554EB"/>
    <w:rsid w:val="78FF5EC9"/>
    <w:rsid w:val="791843E7"/>
    <w:rsid w:val="79233426"/>
    <w:rsid w:val="79260F03"/>
    <w:rsid w:val="792E73F2"/>
    <w:rsid w:val="79395A92"/>
    <w:rsid w:val="793C6522"/>
    <w:rsid w:val="794008FB"/>
    <w:rsid w:val="79412D41"/>
    <w:rsid w:val="794708D9"/>
    <w:rsid w:val="794B21A1"/>
    <w:rsid w:val="7964574A"/>
    <w:rsid w:val="79804706"/>
    <w:rsid w:val="79835FC2"/>
    <w:rsid w:val="79840597"/>
    <w:rsid w:val="79941CF2"/>
    <w:rsid w:val="79973382"/>
    <w:rsid w:val="79B4353E"/>
    <w:rsid w:val="79C07B43"/>
    <w:rsid w:val="79C832AC"/>
    <w:rsid w:val="79D33056"/>
    <w:rsid w:val="79D715DF"/>
    <w:rsid w:val="79E16F93"/>
    <w:rsid w:val="79E701E5"/>
    <w:rsid w:val="79EC0256"/>
    <w:rsid w:val="79F60153"/>
    <w:rsid w:val="79FB6E2C"/>
    <w:rsid w:val="79FF7B91"/>
    <w:rsid w:val="7A0A3842"/>
    <w:rsid w:val="7A110A0A"/>
    <w:rsid w:val="7A36322F"/>
    <w:rsid w:val="7A3D5F91"/>
    <w:rsid w:val="7A431242"/>
    <w:rsid w:val="7A444657"/>
    <w:rsid w:val="7A4B3D21"/>
    <w:rsid w:val="7A4C2D60"/>
    <w:rsid w:val="7A5E0869"/>
    <w:rsid w:val="7A69432B"/>
    <w:rsid w:val="7A6E4BF5"/>
    <w:rsid w:val="7A7F4A1E"/>
    <w:rsid w:val="7A801BF4"/>
    <w:rsid w:val="7A8246BA"/>
    <w:rsid w:val="7A851D5D"/>
    <w:rsid w:val="7A8A2267"/>
    <w:rsid w:val="7A9534B4"/>
    <w:rsid w:val="7AA07F3B"/>
    <w:rsid w:val="7AAF4757"/>
    <w:rsid w:val="7AB53126"/>
    <w:rsid w:val="7AB76FE8"/>
    <w:rsid w:val="7AB8122B"/>
    <w:rsid w:val="7ACC526F"/>
    <w:rsid w:val="7AD268E2"/>
    <w:rsid w:val="7ADC0B33"/>
    <w:rsid w:val="7AE14C19"/>
    <w:rsid w:val="7AE53859"/>
    <w:rsid w:val="7AE727D9"/>
    <w:rsid w:val="7AEA174E"/>
    <w:rsid w:val="7B05641A"/>
    <w:rsid w:val="7B0B692F"/>
    <w:rsid w:val="7B266CCC"/>
    <w:rsid w:val="7B274176"/>
    <w:rsid w:val="7B3057E4"/>
    <w:rsid w:val="7B306163"/>
    <w:rsid w:val="7B364C38"/>
    <w:rsid w:val="7B3E17AA"/>
    <w:rsid w:val="7B401C79"/>
    <w:rsid w:val="7B440ED6"/>
    <w:rsid w:val="7B4678D7"/>
    <w:rsid w:val="7B4B2A93"/>
    <w:rsid w:val="7B516F3E"/>
    <w:rsid w:val="7B527515"/>
    <w:rsid w:val="7B78553B"/>
    <w:rsid w:val="7B786809"/>
    <w:rsid w:val="7B7A004F"/>
    <w:rsid w:val="7B890A24"/>
    <w:rsid w:val="7B8A4A8A"/>
    <w:rsid w:val="7BAA485C"/>
    <w:rsid w:val="7BAD1591"/>
    <w:rsid w:val="7BCD64C2"/>
    <w:rsid w:val="7BD3716B"/>
    <w:rsid w:val="7BEC2711"/>
    <w:rsid w:val="7BF55850"/>
    <w:rsid w:val="7C1054B7"/>
    <w:rsid w:val="7C131E53"/>
    <w:rsid w:val="7C261982"/>
    <w:rsid w:val="7C26369C"/>
    <w:rsid w:val="7C2A465C"/>
    <w:rsid w:val="7C2E06D8"/>
    <w:rsid w:val="7C305879"/>
    <w:rsid w:val="7C34521A"/>
    <w:rsid w:val="7C4674BA"/>
    <w:rsid w:val="7C4A2BD1"/>
    <w:rsid w:val="7C4C0053"/>
    <w:rsid w:val="7C576C70"/>
    <w:rsid w:val="7C6E4349"/>
    <w:rsid w:val="7C77043F"/>
    <w:rsid w:val="7C8A7CDC"/>
    <w:rsid w:val="7C9B5288"/>
    <w:rsid w:val="7C9E5A24"/>
    <w:rsid w:val="7CA745A1"/>
    <w:rsid w:val="7CAF4DCB"/>
    <w:rsid w:val="7CB4006B"/>
    <w:rsid w:val="7CB93ABB"/>
    <w:rsid w:val="7CC475DB"/>
    <w:rsid w:val="7CD36BD6"/>
    <w:rsid w:val="7CDE3831"/>
    <w:rsid w:val="7CE656F0"/>
    <w:rsid w:val="7CED34FF"/>
    <w:rsid w:val="7CEE5458"/>
    <w:rsid w:val="7CF26588"/>
    <w:rsid w:val="7CF565D7"/>
    <w:rsid w:val="7CF7605D"/>
    <w:rsid w:val="7CF867A7"/>
    <w:rsid w:val="7CF97F87"/>
    <w:rsid w:val="7CFA3A46"/>
    <w:rsid w:val="7CFC78A1"/>
    <w:rsid w:val="7D0F5720"/>
    <w:rsid w:val="7D24652E"/>
    <w:rsid w:val="7D2561FD"/>
    <w:rsid w:val="7D2E198F"/>
    <w:rsid w:val="7D3B3737"/>
    <w:rsid w:val="7D3D73AF"/>
    <w:rsid w:val="7D3F6E5D"/>
    <w:rsid w:val="7D5052A6"/>
    <w:rsid w:val="7D514310"/>
    <w:rsid w:val="7D5B27C9"/>
    <w:rsid w:val="7D62117D"/>
    <w:rsid w:val="7D6B7F02"/>
    <w:rsid w:val="7D834A16"/>
    <w:rsid w:val="7D9D0A97"/>
    <w:rsid w:val="7D9D438F"/>
    <w:rsid w:val="7DA23743"/>
    <w:rsid w:val="7DA514D2"/>
    <w:rsid w:val="7DAE6BE3"/>
    <w:rsid w:val="7DCD1A27"/>
    <w:rsid w:val="7DCD4EB5"/>
    <w:rsid w:val="7DDF20BC"/>
    <w:rsid w:val="7DE07962"/>
    <w:rsid w:val="7DE34955"/>
    <w:rsid w:val="7DFF1E31"/>
    <w:rsid w:val="7E0565CD"/>
    <w:rsid w:val="7E090313"/>
    <w:rsid w:val="7E097A5B"/>
    <w:rsid w:val="7E3E0FEC"/>
    <w:rsid w:val="7E3E1EF2"/>
    <w:rsid w:val="7E566EA2"/>
    <w:rsid w:val="7E5B15D2"/>
    <w:rsid w:val="7E5B76B4"/>
    <w:rsid w:val="7E5C1ABA"/>
    <w:rsid w:val="7E61281D"/>
    <w:rsid w:val="7E622778"/>
    <w:rsid w:val="7E726401"/>
    <w:rsid w:val="7E756346"/>
    <w:rsid w:val="7E7D055C"/>
    <w:rsid w:val="7E8104AE"/>
    <w:rsid w:val="7E85174A"/>
    <w:rsid w:val="7E8B68B9"/>
    <w:rsid w:val="7EA77314"/>
    <w:rsid w:val="7EAA7C26"/>
    <w:rsid w:val="7EAF1FAA"/>
    <w:rsid w:val="7EB4653A"/>
    <w:rsid w:val="7EBD44C4"/>
    <w:rsid w:val="7EC478B9"/>
    <w:rsid w:val="7ECA4601"/>
    <w:rsid w:val="7ECE7C95"/>
    <w:rsid w:val="7EDC22AD"/>
    <w:rsid w:val="7EDE4C34"/>
    <w:rsid w:val="7EE34086"/>
    <w:rsid w:val="7EE55F89"/>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54370"/>
    <w:rsid w:val="7F397345"/>
    <w:rsid w:val="7F4D1868"/>
    <w:rsid w:val="7F4D3BF2"/>
    <w:rsid w:val="7F542B37"/>
    <w:rsid w:val="7F57085D"/>
    <w:rsid w:val="7F6A77AB"/>
    <w:rsid w:val="7F6B2248"/>
    <w:rsid w:val="7F725E7C"/>
    <w:rsid w:val="7F761ADC"/>
    <w:rsid w:val="7F7D7A8E"/>
    <w:rsid w:val="7F872588"/>
    <w:rsid w:val="7F8725BA"/>
    <w:rsid w:val="7F8C6A8F"/>
    <w:rsid w:val="7F994DB5"/>
    <w:rsid w:val="7F9C175D"/>
    <w:rsid w:val="7F9F773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2</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2024-05-13T11:43:56Z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2C76AEB552B54F80A12B88DD3D57EA5C</vt:lpwstr>
  </property>
</Properties>
</file>